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B9F11">
      <w:pPr>
        <w:keepNext w:val="0"/>
        <w:keepLines w:val="0"/>
        <w:pageBreakBefore w:val="0"/>
        <w:widowControl/>
        <w:kinsoku w:val="0"/>
        <w:wordWrap/>
        <w:overflowPunct/>
        <w:topLinePunct w:val="0"/>
        <w:autoSpaceDE w:val="0"/>
        <w:autoSpaceDN w:val="0"/>
        <w:bidi w:val="0"/>
        <w:spacing w:before="25" w:line="360" w:lineRule="auto"/>
        <w:ind w:left="59"/>
        <w:rPr>
          <w:rFonts w:hint="eastAsia" w:ascii="黑体" w:hAnsi="黑体" w:eastAsia="黑体" w:cs="黑体"/>
          <w:sz w:val="21"/>
          <w:szCs w:val="21"/>
        </w:rPr>
      </w:pPr>
      <w:r>
        <w:rPr>
          <w:rFonts w:hint="eastAsia" w:ascii="黑体" w:hAnsi="黑体" w:eastAsia="黑体" w:cs="黑体"/>
          <w:spacing w:val="-1"/>
          <w:sz w:val="21"/>
          <w:szCs w:val="21"/>
        </w:rPr>
        <w:t>ICS</w:t>
      </w:r>
      <w:r>
        <w:rPr>
          <w:rFonts w:hint="eastAsia" w:ascii="黑体" w:hAnsi="黑体" w:eastAsia="黑体" w:cs="黑体"/>
          <w:spacing w:val="4"/>
          <w:sz w:val="21"/>
          <w:szCs w:val="21"/>
        </w:rPr>
        <w:t xml:space="preserve"> </w:t>
      </w:r>
      <w:r>
        <w:rPr>
          <w:rFonts w:hint="eastAsia" w:ascii="黑体" w:hAnsi="黑体" w:eastAsia="黑体" w:cs="黑体"/>
          <w:spacing w:val="-1"/>
          <w:sz w:val="21"/>
          <w:szCs w:val="21"/>
        </w:rPr>
        <w:t>35.240.01</w:t>
      </w:r>
    </w:p>
    <w:p w14:paraId="267EC7D7">
      <w:pPr>
        <w:pStyle w:val="2"/>
        <w:keepNext w:val="0"/>
        <w:keepLines w:val="0"/>
        <w:pageBreakBefore w:val="0"/>
        <w:widowControl/>
        <w:kinsoku w:val="0"/>
        <w:wordWrap/>
        <w:overflowPunct/>
        <w:topLinePunct w:val="0"/>
        <w:autoSpaceDE w:val="0"/>
        <w:autoSpaceDN w:val="0"/>
        <w:bidi w:val="0"/>
        <w:spacing w:before="131" w:line="360" w:lineRule="auto"/>
        <w:ind w:left="19"/>
        <w:rPr>
          <w:rFonts w:hint="eastAsia" w:ascii="黑体" w:hAnsi="黑体" w:eastAsia="黑体" w:cs="黑体"/>
          <w:spacing w:val="-2"/>
          <w:sz w:val="21"/>
          <w:szCs w:val="21"/>
        </w:rPr>
      </w:pPr>
      <w:r>
        <w:rPr>
          <w:rFonts w:hint="eastAsia" w:ascii="黑体" w:hAnsi="黑体" w:eastAsia="黑体" w:cs="黑体"/>
          <w:spacing w:val="-2"/>
          <w:sz w:val="21"/>
          <w:szCs w:val="21"/>
        </w:rPr>
        <w:t>CCS L77</w:t>
      </w:r>
    </w:p>
    <w:p w14:paraId="61245C78">
      <w:pPr>
        <w:pStyle w:val="2"/>
        <w:keepNext w:val="0"/>
        <w:keepLines w:val="0"/>
        <w:pageBreakBefore w:val="0"/>
        <w:widowControl/>
        <w:kinsoku w:val="0"/>
        <w:wordWrap/>
        <w:overflowPunct/>
        <w:topLinePunct w:val="0"/>
        <w:autoSpaceDE w:val="0"/>
        <w:autoSpaceDN w:val="0"/>
        <w:bidi w:val="0"/>
        <w:spacing w:before="131" w:line="360" w:lineRule="auto"/>
        <w:ind w:left="19"/>
        <w:jc w:val="right"/>
        <w:rPr>
          <w:rFonts w:hint="default" w:ascii="Times New Roman Bold" w:hAnsi="Times New Roman Bold" w:eastAsia="黑体" w:cs="Times New Roman Bold"/>
          <w:b/>
          <w:bCs/>
          <w:spacing w:val="-2"/>
          <w:sz w:val="96"/>
          <w:szCs w:val="96"/>
          <w:lang w:val="en-US" w:eastAsia="zh-CN"/>
        </w:rPr>
      </w:pPr>
      <w:r>
        <w:rPr>
          <w:rFonts w:hint="default" w:ascii="Times New Roman Bold" w:hAnsi="Times New Roman Bold" w:eastAsia="黑体" w:cs="Times New Roman Bold"/>
          <w:b/>
          <w:bCs/>
          <w:spacing w:val="-2"/>
          <w:sz w:val="96"/>
          <w:szCs w:val="96"/>
          <w:lang w:val="en-US" w:eastAsia="zh-CN"/>
        </w:rPr>
        <w:t>T/</w:t>
      </w:r>
    </w:p>
    <w:p w14:paraId="1E2F5893">
      <w:pPr>
        <w:pStyle w:val="2"/>
        <w:keepNext w:val="0"/>
        <w:keepLines w:val="0"/>
        <w:pageBreakBefore w:val="0"/>
        <w:widowControl/>
        <w:kinsoku w:val="0"/>
        <w:wordWrap/>
        <w:overflowPunct/>
        <w:topLinePunct w:val="0"/>
        <w:autoSpaceDE w:val="0"/>
        <w:autoSpaceDN w:val="0"/>
        <w:bidi w:val="0"/>
        <w:spacing w:before="131" w:line="360" w:lineRule="auto"/>
        <w:ind w:left="19"/>
        <w:jc w:val="center"/>
        <w:rPr>
          <w:rFonts w:hint="default" w:ascii="Times New Roman Bold" w:hAnsi="Times New Roman Bold" w:eastAsia="黑体" w:cs="Times New Roman Bold"/>
          <w:b w:val="0"/>
          <w:bCs w:val="0"/>
          <w:spacing w:val="-2"/>
          <w:sz w:val="48"/>
          <w:szCs w:val="48"/>
          <w:lang w:val="en-US" w:eastAsia="zh-CN"/>
        </w:rPr>
      </w:pPr>
      <w:r>
        <w:rPr>
          <w:rFonts w:hint="eastAsia" w:ascii="Times New Roman Bold" w:hAnsi="Times New Roman Bold" w:eastAsia="黑体" w:cs="Times New Roman Bold"/>
          <w:b w:val="0"/>
          <w:bCs w:val="0"/>
          <w:spacing w:val="-2"/>
          <w:sz w:val="48"/>
          <w:szCs w:val="48"/>
          <w:lang w:val="en-US" w:eastAsia="zh-CN"/>
        </w:rPr>
        <w:t>团                    体                       标                   准</w:t>
      </w:r>
    </w:p>
    <w:p w14:paraId="226294E6">
      <w:pPr>
        <w:keepNext w:val="0"/>
        <w:keepLines w:val="0"/>
        <w:pageBreakBefore w:val="0"/>
        <w:widowControl/>
        <w:kinsoku w:val="0"/>
        <w:wordWrap/>
        <w:overflowPunct/>
        <w:topLinePunct w:val="0"/>
        <w:autoSpaceDE w:val="0"/>
        <w:autoSpaceDN w:val="0"/>
        <w:bidi w:val="0"/>
        <w:spacing w:before="112" w:line="360" w:lineRule="auto"/>
        <w:jc w:val="right"/>
      </w:pPr>
      <w:r>
        <w:rPr>
          <w:rFonts w:hint="eastAsia" w:ascii="黑体" w:hAnsi="黑体" w:eastAsia="黑体" w:cs="黑体"/>
          <w:b/>
          <w:bCs w:val="0"/>
          <w:spacing w:val="-1"/>
          <w:sz w:val="28"/>
          <w:szCs w:val="28"/>
          <w:lang w:val="en-US" w:eastAsia="zh-CN"/>
        </w:rPr>
        <w:t>T/XXXX</w:t>
      </w:r>
      <w:r>
        <w:rPr>
          <w:rFonts w:hint="eastAsia" w:ascii="黑体" w:hAnsi="黑体" w:eastAsia="黑体" w:cs="黑体"/>
          <w:b/>
          <w:bCs w:val="0"/>
          <w:spacing w:val="-1"/>
          <w:sz w:val="28"/>
          <w:szCs w:val="28"/>
        </w:rPr>
        <w:t>-2025</w:t>
      </w:r>
    </w:p>
    <w:p w14:paraId="06F69FE0">
      <w:pPr>
        <w:pStyle w:val="2"/>
        <w:keepNext w:val="0"/>
        <w:keepLines w:val="0"/>
        <w:pageBreakBefore w:val="0"/>
        <w:widowControl/>
        <w:kinsoku w:val="0"/>
        <w:wordWrap/>
        <w:overflowPunct/>
        <w:topLinePunct w:val="0"/>
        <w:autoSpaceDE w:val="0"/>
        <w:autoSpaceDN w:val="0"/>
        <w:bidi w:val="0"/>
        <w:spacing w:line="360" w:lineRule="auto"/>
      </w:pPr>
      <w:r>
        <w:drawing>
          <wp:anchor distT="0" distB="0" distL="0" distR="0" simplePos="0" relativeHeight="251660288" behindDoc="0" locked="0" layoutInCell="1" allowOverlap="1">
            <wp:simplePos x="0" y="0"/>
            <wp:positionH relativeFrom="column">
              <wp:posOffset>0</wp:posOffset>
            </wp:positionH>
            <wp:positionV relativeFrom="paragraph">
              <wp:posOffset>50800</wp:posOffset>
            </wp:positionV>
            <wp:extent cx="6153150" cy="6350"/>
            <wp:effectExtent l="0" t="0" r="0" b="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27"/>
                    <a:stretch>
                      <a:fillRect/>
                    </a:stretch>
                  </pic:blipFill>
                  <pic:spPr>
                    <a:xfrm>
                      <a:off x="0" y="0"/>
                      <a:ext cx="6153150" cy="6350"/>
                    </a:xfrm>
                    <a:prstGeom prst="rect">
                      <a:avLst/>
                    </a:prstGeom>
                    <a:noFill/>
                    <a:ln>
                      <a:noFill/>
                    </a:ln>
                  </pic:spPr>
                </pic:pic>
              </a:graphicData>
            </a:graphic>
          </wp:anchor>
        </w:drawing>
      </w:r>
    </w:p>
    <w:p w14:paraId="54CD5B0A">
      <w:pPr>
        <w:keepNext w:val="0"/>
        <w:keepLines w:val="0"/>
        <w:pageBreakBefore w:val="0"/>
        <w:widowControl/>
        <w:kinsoku w:val="0"/>
        <w:wordWrap/>
        <w:overflowPunct/>
        <w:topLinePunct w:val="0"/>
        <w:autoSpaceDE w:val="0"/>
        <w:autoSpaceDN w:val="0"/>
        <w:bidi w:val="0"/>
        <w:spacing w:before="208" w:line="360" w:lineRule="auto"/>
        <w:jc w:val="center"/>
        <w:rPr>
          <w:rFonts w:hint="eastAsia" w:ascii="黑体" w:hAnsi="黑体" w:eastAsia="黑体" w:cs="黑体"/>
          <w:b w:val="0"/>
          <w:bCs w:val="0"/>
          <w:spacing w:val="-28"/>
          <w:sz w:val="52"/>
          <w:szCs w:val="52"/>
        </w:rPr>
      </w:pPr>
      <w:r>
        <w:rPr>
          <w:rFonts w:hint="eastAsia" w:ascii="黑体" w:hAnsi="黑体" w:eastAsia="黑体" w:cs="黑体"/>
          <w:b w:val="0"/>
          <w:bCs w:val="0"/>
          <w:spacing w:val="-28"/>
          <w:sz w:val="52"/>
          <w:szCs w:val="52"/>
        </w:rPr>
        <w:t>信息化项目造价咨询服务标准体系框架</w:t>
      </w:r>
    </w:p>
    <w:p w14:paraId="78874F8C">
      <w:pPr>
        <w:pStyle w:val="2"/>
        <w:keepNext w:val="0"/>
        <w:keepLines w:val="0"/>
        <w:pageBreakBefore w:val="0"/>
        <w:widowControl/>
        <w:kinsoku w:val="0"/>
        <w:wordWrap/>
        <w:overflowPunct/>
        <w:topLinePunct w:val="0"/>
        <w:autoSpaceDE w:val="0"/>
        <w:autoSpaceDN w:val="0"/>
        <w:bidi w:val="0"/>
        <w:spacing w:before="226" w:line="360" w:lineRule="auto"/>
        <w:jc w:val="center"/>
        <w:rPr>
          <w:rFonts w:hint="eastAsia" w:ascii="黑体" w:hAnsi="黑体" w:eastAsia="黑体" w:cs="黑体"/>
          <w:b/>
          <w:bCs w:val="0"/>
          <w:sz w:val="28"/>
          <w:szCs w:val="28"/>
        </w:rPr>
      </w:pPr>
      <w:r>
        <w:rPr>
          <w:rFonts w:hint="eastAsia" w:ascii="黑体" w:hAnsi="黑体" w:eastAsia="黑体" w:cs="黑体"/>
          <w:b/>
          <w:bCs w:val="0"/>
          <w:spacing w:val="-2"/>
          <w:sz w:val="28"/>
          <w:szCs w:val="28"/>
        </w:rPr>
        <w:t>Standard</w:t>
      </w:r>
      <w:r>
        <w:rPr>
          <w:rFonts w:hint="eastAsia" w:ascii="黑体" w:hAnsi="黑体" w:eastAsia="黑体" w:cs="黑体"/>
          <w:b/>
          <w:bCs w:val="0"/>
          <w:spacing w:val="43"/>
          <w:w w:val="101"/>
          <w:sz w:val="28"/>
          <w:szCs w:val="28"/>
        </w:rPr>
        <w:t xml:space="preserve"> </w:t>
      </w:r>
      <w:r>
        <w:rPr>
          <w:rFonts w:hint="eastAsia" w:ascii="黑体" w:hAnsi="黑体" w:eastAsia="黑体" w:cs="黑体"/>
          <w:b/>
          <w:bCs w:val="0"/>
          <w:spacing w:val="-2"/>
          <w:sz w:val="28"/>
          <w:szCs w:val="28"/>
        </w:rPr>
        <w:t>System</w:t>
      </w:r>
      <w:r>
        <w:rPr>
          <w:rFonts w:hint="eastAsia" w:ascii="黑体" w:hAnsi="黑体" w:eastAsia="黑体" w:cs="黑体"/>
          <w:b/>
          <w:bCs w:val="0"/>
          <w:spacing w:val="39"/>
          <w:w w:val="101"/>
          <w:sz w:val="28"/>
          <w:szCs w:val="28"/>
        </w:rPr>
        <w:t xml:space="preserve"> </w:t>
      </w:r>
      <w:r>
        <w:rPr>
          <w:rFonts w:hint="eastAsia" w:ascii="黑体" w:hAnsi="黑体" w:eastAsia="黑体" w:cs="黑体"/>
          <w:b/>
          <w:bCs w:val="0"/>
          <w:spacing w:val="-2"/>
          <w:sz w:val="28"/>
          <w:szCs w:val="28"/>
        </w:rPr>
        <w:t>Framework</w:t>
      </w:r>
      <w:r>
        <w:rPr>
          <w:rFonts w:hint="eastAsia" w:ascii="黑体" w:hAnsi="黑体" w:eastAsia="黑体" w:cs="黑体"/>
          <w:b/>
          <w:bCs w:val="0"/>
          <w:spacing w:val="23"/>
          <w:sz w:val="28"/>
          <w:szCs w:val="28"/>
        </w:rPr>
        <w:t xml:space="preserve"> </w:t>
      </w:r>
      <w:r>
        <w:rPr>
          <w:rFonts w:hint="eastAsia" w:ascii="黑体" w:hAnsi="黑体" w:eastAsia="黑体" w:cs="黑体"/>
          <w:b/>
          <w:bCs w:val="0"/>
          <w:spacing w:val="-2"/>
          <w:sz w:val="28"/>
          <w:szCs w:val="28"/>
        </w:rPr>
        <w:t>for</w:t>
      </w:r>
      <w:r>
        <w:rPr>
          <w:rFonts w:hint="eastAsia" w:ascii="黑体" w:hAnsi="黑体" w:eastAsia="黑体" w:cs="黑体"/>
          <w:b/>
          <w:bCs w:val="0"/>
          <w:spacing w:val="34"/>
          <w:sz w:val="28"/>
          <w:szCs w:val="28"/>
        </w:rPr>
        <w:t xml:space="preserve"> </w:t>
      </w:r>
      <w:r>
        <w:rPr>
          <w:rFonts w:hint="eastAsia" w:ascii="黑体" w:hAnsi="黑体" w:eastAsia="黑体" w:cs="黑体"/>
          <w:b/>
          <w:bCs w:val="0"/>
          <w:spacing w:val="-2"/>
          <w:sz w:val="28"/>
          <w:szCs w:val="28"/>
        </w:rPr>
        <w:t>Information</w:t>
      </w:r>
      <w:r>
        <w:rPr>
          <w:rFonts w:hint="eastAsia" w:ascii="黑体" w:hAnsi="黑体" w:eastAsia="黑体" w:cs="黑体"/>
          <w:b/>
          <w:bCs w:val="0"/>
          <w:spacing w:val="26"/>
          <w:sz w:val="28"/>
          <w:szCs w:val="28"/>
        </w:rPr>
        <w:t xml:space="preserve"> </w:t>
      </w:r>
      <w:r>
        <w:rPr>
          <w:rFonts w:hint="eastAsia" w:ascii="黑体" w:hAnsi="黑体" w:eastAsia="黑体" w:cs="黑体"/>
          <w:b/>
          <w:bCs w:val="0"/>
          <w:spacing w:val="-2"/>
          <w:sz w:val="28"/>
          <w:szCs w:val="28"/>
        </w:rPr>
        <w:t>Technology</w:t>
      </w:r>
      <w:r>
        <w:rPr>
          <w:rFonts w:hint="eastAsia" w:ascii="黑体" w:hAnsi="黑体" w:eastAsia="黑体" w:cs="黑体"/>
          <w:b/>
          <w:bCs w:val="0"/>
          <w:spacing w:val="39"/>
          <w:sz w:val="28"/>
          <w:szCs w:val="28"/>
        </w:rPr>
        <w:t xml:space="preserve"> </w:t>
      </w:r>
      <w:r>
        <w:rPr>
          <w:rFonts w:hint="eastAsia" w:ascii="黑体" w:hAnsi="黑体" w:eastAsia="黑体" w:cs="黑体"/>
          <w:b/>
          <w:bCs w:val="0"/>
          <w:spacing w:val="-2"/>
          <w:sz w:val="28"/>
          <w:szCs w:val="28"/>
        </w:rPr>
        <w:t>Project</w:t>
      </w:r>
      <w:r>
        <w:rPr>
          <w:rFonts w:hint="eastAsia" w:ascii="黑体" w:hAnsi="黑体" w:eastAsia="黑体" w:cs="黑体"/>
          <w:b/>
          <w:bCs w:val="0"/>
          <w:spacing w:val="33"/>
          <w:sz w:val="28"/>
          <w:szCs w:val="28"/>
        </w:rPr>
        <w:t xml:space="preserve"> </w:t>
      </w:r>
      <w:r>
        <w:rPr>
          <w:rFonts w:hint="eastAsia" w:ascii="黑体" w:hAnsi="黑体" w:eastAsia="黑体" w:cs="黑体"/>
          <w:b/>
          <w:bCs w:val="0"/>
          <w:spacing w:val="-2"/>
          <w:sz w:val="28"/>
          <w:szCs w:val="28"/>
        </w:rPr>
        <w:t>Cost</w:t>
      </w:r>
      <w:r>
        <w:rPr>
          <w:rFonts w:hint="eastAsia" w:ascii="黑体" w:hAnsi="黑体" w:eastAsia="黑体" w:cs="黑体"/>
          <w:b/>
          <w:bCs w:val="0"/>
          <w:spacing w:val="-2"/>
          <w:sz w:val="28"/>
          <w:szCs w:val="28"/>
          <w:lang w:val="en-US" w:eastAsia="zh-CN"/>
        </w:rPr>
        <w:t xml:space="preserve"> </w:t>
      </w:r>
      <w:r>
        <w:rPr>
          <w:rFonts w:hint="eastAsia" w:ascii="黑体" w:hAnsi="黑体" w:eastAsia="黑体" w:cs="黑体"/>
          <w:b/>
          <w:bCs w:val="0"/>
          <w:spacing w:val="-1"/>
          <w:sz w:val="28"/>
          <w:szCs w:val="28"/>
        </w:rPr>
        <w:t>Consulting Services</w:t>
      </w:r>
    </w:p>
    <w:p w14:paraId="3DDC0B9D">
      <w:pPr>
        <w:pStyle w:val="2"/>
        <w:keepNext w:val="0"/>
        <w:keepLines w:val="0"/>
        <w:pageBreakBefore w:val="0"/>
        <w:widowControl/>
        <w:kinsoku w:val="0"/>
        <w:wordWrap/>
        <w:overflowPunct/>
        <w:topLinePunct w:val="0"/>
        <w:autoSpaceDE w:val="0"/>
        <w:autoSpaceDN w:val="0"/>
        <w:bidi w:val="0"/>
        <w:spacing w:line="360" w:lineRule="auto"/>
        <w:jc w:val="center"/>
        <w:rPr>
          <w:rFonts w:hint="eastAsia" w:eastAsia="宋体"/>
          <w:sz w:val="30"/>
          <w:szCs w:val="30"/>
          <w:lang w:val="en-US" w:eastAsia="zh-CN"/>
        </w:rPr>
      </w:pPr>
    </w:p>
    <w:p w14:paraId="07FF893C">
      <w:pPr>
        <w:pStyle w:val="2"/>
        <w:keepNext w:val="0"/>
        <w:keepLines w:val="0"/>
        <w:pageBreakBefore w:val="0"/>
        <w:widowControl/>
        <w:kinsoku w:val="0"/>
        <w:wordWrap/>
        <w:overflowPunct/>
        <w:topLinePunct w:val="0"/>
        <w:autoSpaceDE w:val="0"/>
        <w:autoSpaceDN w:val="0"/>
        <w:bidi w:val="0"/>
        <w:spacing w:line="360" w:lineRule="auto"/>
        <w:jc w:val="center"/>
        <w:rPr>
          <w:rFonts w:hint="default" w:eastAsia="宋体"/>
          <w:sz w:val="30"/>
          <w:szCs w:val="30"/>
          <w:lang w:val="en-US" w:eastAsia="zh-CN"/>
        </w:rPr>
      </w:pPr>
      <w:r>
        <w:rPr>
          <w:rFonts w:hint="eastAsia" w:eastAsia="宋体"/>
          <w:sz w:val="30"/>
          <w:szCs w:val="30"/>
          <w:lang w:val="en-US" w:eastAsia="zh-CN"/>
        </w:rPr>
        <w:t>征求意见稿</w:t>
      </w:r>
    </w:p>
    <w:p w14:paraId="5838BF4A">
      <w:pPr>
        <w:pStyle w:val="2"/>
        <w:keepNext w:val="0"/>
        <w:keepLines w:val="0"/>
        <w:pageBreakBefore w:val="0"/>
        <w:widowControl/>
        <w:kinsoku w:val="0"/>
        <w:wordWrap/>
        <w:overflowPunct/>
        <w:topLinePunct w:val="0"/>
        <w:autoSpaceDE w:val="0"/>
        <w:autoSpaceDN w:val="0"/>
        <w:bidi w:val="0"/>
        <w:spacing w:line="360" w:lineRule="auto"/>
      </w:pPr>
    </w:p>
    <w:p w14:paraId="59FABD05">
      <w:pPr>
        <w:pStyle w:val="2"/>
        <w:keepNext w:val="0"/>
        <w:keepLines w:val="0"/>
        <w:pageBreakBefore w:val="0"/>
        <w:widowControl/>
        <w:kinsoku w:val="0"/>
        <w:wordWrap/>
        <w:overflowPunct/>
        <w:topLinePunct w:val="0"/>
        <w:autoSpaceDE w:val="0"/>
        <w:autoSpaceDN w:val="0"/>
        <w:bidi w:val="0"/>
        <w:spacing w:line="360" w:lineRule="auto"/>
      </w:pPr>
    </w:p>
    <w:p w14:paraId="71DFA43D">
      <w:pPr>
        <w:pStyle w:val="2"/>
        <w:keepNext w:val="0"/>
        <w:keepLines w:val="0"/>
        <w:pageBreakBefore w:val="0"/>
        <w:widowControl/>
        <w:kinsoku w:val="0"/>
        <w:wordWrap/>
        <w:overflowPunct/>
        <w:topLinePunct w:val="0"/>
        <w:autoSpaceDE w:val="0"/>
        <w:autoSpaceDN w:val="0"/>
        <w:bidi w:val="0"/>
        <w:spacing w:line="360" w:lineRule="auto"/>
      </w:pPr>
    </w:p>
    <w:p w14:paraId="0C3AA84A">
      <w:pPr>
        <w:keepNext w:val="0"/>
        <w:keepLines w:val="0"/>
        <w:pageBreakBefore w:val="0"/>
        <w:widowControl/>
        <w:kinsoku w:val="0"/>
        <w:wordWrap/>
        <w:overflowPunct/>
        <w:topLinePunct w:val="0"/>
        <w:autoSpaceDE w:val="0"/>
        <w:autoSpaceDN w:val="0"/>
        <w:bidi w:val="0"/>
        <w:spacing w:before="88" w:line="360" w:lineRule="auto"/>
        <w:rPr>
          <w:rFonts w:hint="eastAsia" w:ascii="方正小标宋简体" w:hAnsi="方正小标宋简体" w:eastAsia="方正小标宋简体" w:cs="方正小标宋简体"/>
          <w:b w:val="0"/>
          <w:bCs w:val="0"/>
          <w:sz w:val="27"/>
          <w:szCs w:val="27"/>
        </w:rPr>
      </w:pPr>
    </w:p>
    <w:p w14:paraId="41BDA3DE">
      <w:pPr>
        <w:keepNext w:val="0"/>
        <w:keepLines w:val="0"/>
        <w:pageBreakBefore w:val="0"/>
        <w:widowControl/>
        <w:kinsoku w:val="0"/>
        <w:wordWrap/>
        <w:overflowPunct/>
        <w:topLinePunct w:val="0"/>
        <w:autoSpaceDE w:val="0"/>
        <w:autoSpaceDN w:val="0"/>
        <w:bidi w:val="0"/>
        <w:spacing w:before="88" w:line="360" w:lineRule="auto"/>
        <w:rPr>
          <w:rFonts w:hint="eastAsia" w:ascii="方正小标宋简体" w:hAnsi="方正小标宋简体" w:eastAsia="方正小标宋简体" w:cs="方正小标宋简体"/>
          <w:b w:val="0"/>
          <w:bCs w:val="0"/>
          <w:sz w:val="27"/>
          <w:szCs w:val="27"/>
        </w:rPr>
      </w:pPr>
    </w:p>
    <w:p w14:paraId="45A475E4">
      <w:pPr>
        <w:keepNext w:val="0"/>
        <w:keepLines w:val="0"/>
        <w:pageBreakBefore w:val="0"/>
        <w:widowControl/>
        <w:kinsoku w:val="0"/>
        <w:wordWrap/>
        <w:overflowPunct/>
        <w:topLinePunct w:val="0"/>
        <w:autoSpaceDE w:val="0"/>
        <w:autoSpaceDN w:val="0"/>
        <w:bidi w:val="0"/>
        <w:spacing w:before="88" w:line="360" w:lineRule="auto"/>
        <w:jc w:val="left"/>
        <w:rPr>
          <w:rFonts w:hint="eastAsia" w:ascii="方正小标宋简体" w:hAnsi="方正小标宋简体" w:eastAsia="方正小标宋简体" w:cs="方正小标宋简体"/>
          <w:b w:val="0"/>
          <w:bCs w:val="0"/>
          <w:sz w:val="27"/>
          <w:szCs w:val="27"/>
        </w:rPr>
      </w:pPr>
      <w:bookmarkStart w:id="62" w:name="_GoBack"/>
      <w:bookmarkEnd w:id="62"/>
    </w:p>
    <w:p w14:paraId="7052EB3D">
      <w:pPr>
        <w:keepNext w:val="0"/>
        <w:keepLines w:val="0"/>
        <w:pageBreakBefore w:val="0"/>
        <w:widowControl/>
        <w:kinsoku w:val="0"/>
        <w:wordWrap/>
        <w:overflowPunct/>
        <w:topLinePunct w:val="0"/>
        <w:autoSpaceDE w:val="0"/>
        <w:autoSpaceDN w:val="0"/>
        <w:bidi w:val="0"/>
        <w:spacing w:before="88" w:line="360" w:lineRule="auto"/>
        <w:jc w:val="left"/>
        <w:rPr>
          <w:rFonts w:hint="eastAsia" w:ascii="方正小标宋简体" w:hAnsi="方正小标宋简体" w:eastAsia="方正小标宋简体" w:cs="方正小标宋简体"/>
          <w:b w:val="0"/>
          <w:bCs w:val="0"/>
          <w:sz w:val="27"/>
          <w:szCs w:val="27"/>
        </w:rPr>
      </w:pPr>
    </w:p>
    <w:p w14:paraId="22F2919A">
      <w:pPr>
        <w:keepNext w:val="0"/>
        <w:keepLines w:val="0"/>
        <w:pageBreakBefore w:val="0"/>
        <w:widowControl/>
        <w:kinsoku w:val="0"/>
        <w:wordWrap/>
        <w:overflowPunct/>
        <w:topLinePunct w:val="0"/>
        <w:autoSpaceDE w:val="0"/>
        <w:autoSpaceDN w:val="0"/>
        <w:bidi w:val="0"/>
        <w:spacing w:before="114" w:line="36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rPr>
        <w:t xml:space="preserve">2025 - XX </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XX发布</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2025 - XX - XX</w:t>
      </w:r>
      <w:r>
        <w:rPr>
          <w:rFonts w:hint="eastAsia" w:ascii="黑体" w:hAnsi="黑体" w:eastAsia="黑体" w:cs="黑体"/>
          <w:b/>
          <w:bCs/>
          <w:sz w:val="28"/>
          <w:szCs w:val="28"/>
          <w:lang w:val="en-US" w:eastAsia="zh-CN"/>
        </w:rPr>
        <w:t>实施</w:t>
      </w:r>
    </w:p>
    <w:p w14:paraId="1E8B2C9A">
      <w:pPr>
        <w:keepNext w:val="0"/>
        <w:keepLines w:val="0"/>
        <w:pageBreakBefore w:val="0"/>
        <w:widowControl/>
        <w:kinsoku w:val="0"/>
        <w:wordWrap/>
        <w:overflowPunct/>
        <w:topLinePunct w:val="0"/>
        <w:autoSpaceDE w:val="0"/>
        <w:autoSpaceDN w:val="0"/>
        <w:bidi w:val="0"/>
        <w:spacing w:before="114" w:line="360" w:lineRule="auto"/>
        <w:jc w:val="center"/>
        <w:rPr>
          <w:rFonts w:hint="eastAsia"/>
        </w:rPr>
      </w:pPr>
    </w:p>
    <w:p w14:paraId="6159DE78">
      <w:pPr>
        <w:keepNext w:val="0"/>
        <w:keepLines w:val="0"/>
        <w:pageBreakBefore w:val="0"/>
        <w:widowControl/>
        <w:kinsoku w:val="0"/>
        <w:wordWrap/>
        <w:overflowPunct/>
        <w:topLinePunct w:val="0"/>
        <w:autoSpaceDE w:val="0"/>
        <w:autoSpaceDN w:val="0"/>
        <w:bidi w:val="0"/>
        <w:spacing w:before="114" w:line="360" w:lineRule="auto"/>
        <w:jc w:val="center"/>
        <w:rPr>
          <w:rFonts w:ascii="黑体" w:hAnsi="黑体" w:eastAsia="黑体" w:cs="黑体"/>
          <w:sz w:val="27"/>
          <w:szCs w:val="27"/>
        </w:rPr>
        <w:sectPr>
          <w:footerReference r:id="rId5" w:type="default"/>
          <w:pgSz w:w="11900" w:h="16832"/>
          <w:pgMar w:top="1417" w:right="1134" w:bottom="1134" w:left="1417" w:header="0" w:footer="1128" w:gutter="0"/>
          <w:paperSrc/>
          <w:pgNumType w:fmt="decimal"/>
          <w:cols w:space="720" w:num="1"/>
          <w:rtlGutter w:val="0"/>
          <w:docGrid w:linePitch="0" w:charSpace="0"/>
        </w:sectPr>
      </w:pPr>
      <w:r>
        <w:rPr>
          <w:rFonts w:hint="eastAsia" w:ascii="黑体" w:hAnsi="黑体" w:eastAsia="黑体" w:cs="黑体"/>
          <w:b w:val="0"/>
          <w:bCs w:val="0"/>
          <w:spacing w:val="-8"/>
          <w:sz w:val="30"/>
          <w:szCs w:val="30"/>
          <w:lang w:val="en-US" w:eastAsia="zh-CN"/>
        </w:rPr>
        <w:t>陕西省软件行业</w:t>
      </w:r>
      <w:r>
        <w:rPr>
          <w:rFonts w:hint="eastAsia" w:ascii="黑体" w:hAnsi="黑体" w:eastAsia="黑体" w:cs="黑体"/>
          <w:b w:val="0"/>
          <w:bCs w:val="0"/>
          <w:spacing w:val="-8"/>
          <w:sz w:val="30"/>
          <w:szCs w:val="30"/>
        </w:rPr>
        <w:t>协会</w:t>
      </w:r>
      <w:r>
        <w:rPr>
          <w:rFonts w:hint="eastAsia" w:ascii="方正小标宋简体" w:hAnsi="方正小标宋简体" w:eastAsia="方正小标宋简体" w:cs="方正小标宋简体"/>
          <w:b w:val="0"/>
          <w:bCs w:val="0"/>
          <w:spacing w:val="-8"/>
          <w:sz w:val="30"/>
          <w:szCs w:val="30"/>
          <w:lang w:val="en-US" w:eastAsia="zh-CN"/>
        </w:rPr>
        <w:t xml:space="preserve">      </w:t>
      </w:r>
      <w:r>
        <w:rPr>
          <w:rFonts w:hint="eastAsia" w:ascii="黑体" w:hAnsi="黑体" w:eastAsia="黑体" w:cs="黑体"/>
          <w:b w:val="0"/>
          <w:bCs w:val="0"/>
          <w:spacing w:val="-8"/>
          <w:position w:val="1"/>
          <w:sz w:val="28"/>
          <w:szCs w:val="28"/>
        </w:rPr>
        <w:t>发布</w:t>
      </w:r>
    </w:p>
    <w:p w14:paraId="07F7EC9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bCs/>
          <w:spacing w:val="-36"/>
          <w:sz w:val="32"/>
          <w:szCs w:val="32"/>
        </w:rPr>
      </w:pPr>
      <w:bookmarkStart w:id="0" w:name="bookmark1"/>
      <w:bookmarkEnd w:id="0"/>
      <w:r>
        <w:rPr>
          <w:rFonts w:hint="eastAsia" w:ascii="宋体" w:hAnsi="宋体" w:eastAsia="宋体" w:cs="宋体"/>
          <w:b w:val="0"/>
          <w:bCs w:val="0"/>
          <w:spacing w:val="-9"/>
          <w:sz w:val="21"/>
          <w:szCs w:val="21"/>
          <w:lang w:val="en-US" w:eastAsia="zh-CN"/>
        </w:rPr>
        <w:t>T/XXXX-2025</w:t>
      </w:r>
    </w:p>
    <w:p w14:paraId="07B1BC79">
      <w:pPr>
        <w:keepNext w:val="0"/>
        <w:keepLines w:val="0"/>
        <w:pageBreakBefore w:val="0"/>
        <w:widowControl/>
        <w:kinsoku w:val="0"/>
        <w:wordWrap/>
        <w:overflowPunct/>
        <w:topLinePunct w:val="0"/>
        <w:autoSpaceDE w:val="0"/>
        <w:autoSpaceDN w:val="0"/>
        <w:bidi w:val="0"/>
        <w:spacing w:before="91" w:line="360" w:lineRule="auto"/>
        <w:jc w:val="center"/>
        <w:rPr>
          <w:rFonts w:hint="eastAsia" w:ascii="黑体" w:hAnsi="黑体" w:eastAsia="黑体" w:cs="黑体"/>
          <w:sz w:val="32"/>
          <w:szCs w:val="32"/>
        </w:rPr>
      </w:pPr>
      <w:r>
        <w:rPr>
          <w:rFonts w:hint="eastAsia" w:ascii="黑体" w:hAnsi="黑体" w:eastAsia="黑体" w:cs="黑体"/>
          <w:b/>
          <w:bCs/>
          <w:spacing w:val="-36"/>
          <w:sz w:val="32"/>
          <w:szCs w:val="32"/>
        </w:rPr>
        <w:t>目次</w:t>
      </w:r>
    </w:p>
    <w:p w14:paraId="73DE9D96">
      <w:pPr>
        <w:pStyle w:val="2"/>
        <w:keepNext w:val="0"/>
        <w:keepLines w:val="0"/>
        <w:pageBreakBefore w:val="0"/>
        <w:widowControl/>
        <w:kinsoku w:val="0"/>
        <w:wordWrap/>
        <w:overflowPunct/>
        <w:topLinePunct w:val="0"/>
        <w:autoSpaceDE w:val="0"/>
        <w:autoSpaceDN w:val="0"/>
        <w:bidi w:val="0"/>
        <w:spacing w:line="360" w:lineRule="auto"/>
      </w:pPr>
    </w:p>
    <w:p w14:paraId="770841B4">
      <w:pPr>
        <w:keepNext w:val="0"/>
        <w:keepLines w:val="0"/>
        <w:pageBreakBefore w:val="0"/>
        <w:widowControl/>
        <w:tabs>
          <w:tab w:val="right" w:leader="dot" w:pos="9254"/>
        </w:tabs>
        <w:kinsoku w:val="0"/>
        <w:wordWrap/>
        <w:overflowPunct/>
        <w:topLinePunct w:val="0"/>
        <w:autoSpaceDE w:val="0"/>
        <w:autoSpaceDN w:val="0"/>
        <w:bidi w:val="0"/>
        <w:spacing w:before="65"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HYPERLINK\l"bookmark2"</w:instrText>
      </w:r>
      <w:r>
        <w:rPr>
          <w:rFonts w:hint="eastAsia" w:ascii="宋体" w:hAnsi="宋体" w:eastAsia="宋体" w:cs="宋体"/>
          <w:sz w:val="21"/>
          <w:szCs w:val="21"/>
        </w:rPr>
        <w:fldChar w:fldCharType="separate"/>
      </w:r>
      <w:r>
        <w:rPr>
          <w:rFonts w:hint="eastAsia" w:ascii="宋体" w:hAnsi="宋体" w:eastAsia="宋体" w:cs="宋体"/>
          <w:spacing w:val="-6"/>
          <w:sz w:val="21"/>
          <w:szCs w:val="21"/>
        </w:rPr>
        <w:t>前言</w:t>
      </w:r>
      <w:r>
        <w:rPr>
          <w:rFonts w:hint="eastAsia" w:ascii="宋体" w:hAnsi="宋体" w:eastAsia="宋体" w:cs="宋体"/>
          <w:sz w:val="21"/>
          <w:szCs w:val="21"/>
        </w:rPr>
        <w:tab/>
      </w:r>
      <w:r>
        <w:rPr>
          <w:rFonts w:hint="eastAsia" w:ascii="宋体" w:hAnsi="宋体" w:eastAsia="宋体" w:cs="宋体"/>
          <w:spacing w:val="-2"/>
          <w:sz w:val="21"/>
          <w:szCs w:val="21"/>
        </w:rPr>
        <w:t>III</w:t>
      </w:r>
      <w:r>
        <w:rPr>
          <w:rFonts w:hint="eastAsia" w:ascii="宋体" w:hAnsi="宋体" w:eastAsia="宋体" w:cs="宋体"/>
          <w:spacing w:val="-2"/>
          <w:sz w:val="21"/>
          <w:szCs w:val="21"/>
        </w:rPr>
        <w:fldChar w:fldCharType="end"/>
      </w:r>
    </w:p>
    <w:p w14:paraId="0B6B48A9">
      <w:pPr>
        <w:keepNext w:val="0"/>
        <w:keepLines w:val="0"/>
        <w:pageBreakBefore w:val="0"/>
        <w:widowControl/>
        <w:tabs>
          <w:tab w:val="right" w:leader="dot" w:pos="9325"/>
        </w:tabs>
        <w:kinsoku w:val="0"/>
        <w:wordWrap/>
        <w:overflowPunct/>
        <w:topLinePunct w:val="0"/>
        <w:autoSpaceDE w:val="0"/>
        <w:autoSpaceDN w:val="0"/>
        <w:bidi w:val="0"/>
        <w:spacing w:before="140"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HYPERLINK\l"bookmark3"</w:instrText>
      </w:r>
      <w:r>
        <w:rPr>
          <w:rFonts w:hint="eastAsia" w:ascii="宋体" w:hAnsi="宋体" w:eastAsia="宋体" w:cs="宋体"/>
          <w:sz w:val="21"/>
          <w:szCs w:val="21"/>
        </w:rPr>
        <w:fldChar w:fldCharType="separate"/>
      </w:r>
      <w:r>
        <w:rPr>
          <w:rFonts w:hint="eastAsia" w:ascii="宋体" w:hAnsi="宋体" w:eastAsia="宋体" w:cs="宋体"/>
          <w:spacing w:val="-6"/>
          <w:sz w:val="21"/>
          <w:szCs w:val="21"/>
        </w:rPr>
        <w:t>1范围</w:t>
      </w:r>
      <w:r>
        <w:rPr>
          <w:rFonts w:hint="eastAsia" w:ascii="宋体" w:hAnsi="宋体" w:eastAsia="宋体" w:cs="宋体"/>
          <w:sz w:val="21"/>
          <w:szCs w:val="21"/>
        </w:rPr>
        <w:tab/>
      </w:r>
      <w:r>
        <w:rPr>
          <w:rFonts w:hint="eastAsia" w:ascii="宋体" w:hAnsi="宋体" w:eastAsia="宋体" w:cs="宋体"/>
          <w:sz w:val="21"/>
          <w:szCs w:val="21"/>
          <w:lang w:val="en-US" w:eastAsia="zh-CN"/>
        </w:rPr>
        <w:t>6</w:t>
      </w:r>
      <w:r>
        <w:rPr>
          <w:rFonts w:hint="eastAsia" w:ascii="宋体" w:hAnsi="宋体" w:eastAsia="宋体" w:cs="宋体"/>
          <w:sz w:val="21"/>
          <w:szCs w:val="21"/>
        </w:rPr>
        <w:fldChar w:fldCharType="end"/>
      </w:r>
    </w:p>
    <w:p w14:paraId="4611B014">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2规范性引用文件</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6</w:t>
      </w:r>
      <w:r>
        <w:rPr>
          <w:rFonts w:hint="eastAsia" w:ascii="宋体" w:hAnsi="宋体" w:eastAsia="宋体" w:cs="宋体"/>
          <w:spacing w:val="-6"/>
          <w:sz w:val="21"/>
          <w:szCs w:val="21"/>
        </w:rPr>
        <w:fldChar w:fldCharType="end"/>
      </w:r>
    </w:p>
    <w:p w14:paraId="7613C198">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HYPERLINK\l"bookmark5"</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3术语和定义</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6</w:t>
      </w:r>
      <w:r>
        <w:rPr>
          <w:rFonts w:hint="eastAsia" w:ascii="宋体" w:hAnsi="宋体" w:eastAsia="宋体" w:cs="宋体"/>
          <w:spacing w:val="-6"/>
          <w:sz w:val="21"/>
          <w:szCs w:val="21"/>
        </w:rPr>
        <w:fldChar w:fldCharType="end"/>
      </w:r>
    </w:p>
    <w:p w14:paraId="1013B6D3">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HYPERLINK\l"bookmark6"</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4总体原则</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7</w:t>
      </w:r>
      <w:r>
        <w:rPr>
          <w:rFonts w:hint="eastAsia" w:ascii="宋体" w:hAnsi="宋体" w:eastAsia="宋体" w:cs="宋体"/>
          <w:spacing w:val="-6"/>
          <w:sz w:val="21"/>
          <w:szCs w:val="21"/>
        </w:rPr>
        <w:fldChar w:fldCharType="end"/>
      </w:r>
    </w:p>
    <w:p w14:paraId="3F62AEA0">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HYPERLINK\l"bookmark7"</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5标准体系构建方法</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8</w:t>
      </w:r>
      <w:r>
        <w:rPr>
          <w:rFonts w:hint="eastAsia" w:ascii="宋体" w:hAnsi="宋体" w:eastAsia="宋体" w:cs="宋体"/>
          <w:spacing w:val="-6"/>
          <w:sz w:val="21"/>
          <w:szCs w:val="21"/>
        </w:rPr>
        <w:fldChar w:fldCharType="end"/>
      </w:r>
    </w:p>
    <w:p w14:paraId="54E5C604">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HYPERLINK\l"bookmark8"</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6标准体系总体框架</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8</w:t>
      </w:r>
      <w:r>
        <w:rPr>
          <w:rFonts w:hint="eastAsia" w:ascii="宋体" w:hAnsi="宋体" w:eastAsia="宋体" w:cs="宋体"/>
          <w:spacing w:val="-6"/>
          <w:sz w:val="21"/>
          <w:szCs w:val="21"/>
        </w:rPr>
        <w:fldChar w:fldCharType="end"/>
      </w:r>
    </w:p>
    <w:p w14:paraId="67D1CA98">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HYPERLINK\l"bookmark9"</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7通用基础标准子体系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0</w:t>
      </w:r>
    </w:p>
    <w:p w14:paraId="603E9850">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HYPERLINK\l"bookmark10"</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7.1子体系结构图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0</w:t>
      </w:r>
    </w:p>
    <w:p w14:paraId="4F0AE06E">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HYPERLINK\l"bookmark11"</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7.2服务通用基础标准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1</w:t>
      </w:r>
    </w:p>
    <w:p w14:paraId="0BD4BC52">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HYPERLINK\l"bookmark12"</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7.3行业通用测算规范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1</w:t>
      </w:r>
    </w:p>
    <w:p w14:paraId="4F7D4249">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HYPERLINK\l"bookmark13"</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8业务服务标准子体系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2</w:t>
      </w:r>
    </w:p>
    <w:p w14:paraId="66F98909">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HYPERLINK\l"bookmark14"</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8.1子体系结构图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2</w:t>
      </w:r>
    </w:p>
    <w:p w14:paraId="7DCA824A">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HYPERLINK\l"bookmark15"</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8.2信息化项目技术方案评审规范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3</w:t>
      </w:r>
      <w:r>
        <w:rPr>
          <w:rFonts w:hint="eastAsia" w:ascii="宋体" w:hAnsi="宋体" w:eastAsia="宋体" w:cs="宋体"/>
          <w:spacing w:val="-6"/>
          <w:sz w:val="21"/>
          <w:szCs w:val="21"/>
        </w:rPr>
        <w:fldChar w:fldCharType="end"/>
      </w:r>
    </w:p>
    <w:p w14:paraId="77D37658">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HYPERLINK\l"bookmark16"</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8.3信息化项目造价咨询服务规范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3</w:t>
      </w:r>
      <w:r>
        <w:rPr>
          <w:rFonts w:hint="eastAsia" w:ascii="宋体" w:hAnsi="宋体" w:eastAsia="宋体" w:cs="宋体"/>
          <w:spacing w:val="-6"/>
          <w:sz w:val="21"/>
          <w:szCs w:val="21"/>
        </w:rPr>
        <w:fldChar w:fldCharType="end"/>
      </w:r>
    </w:p>
    <w:p w14:paraId="3D4B9702">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HYPERLINK\l"bookmark17"</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8.4信息化项目技术参数评审规范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3</w:t>
      </w:r>
      <w:r>
        <w:rPr>
          <w:rFonts w:hint="eastAsia" w:ascii="宋体" w:hAnsi="宋体" w:eastAsia="宋体" w:cs="宋体"/>
          <w:spacing w:val="-6"/>
          <w:sz w:val="21"/>
          <w:szCs w:val="21"/>
        </w:rPr>
        <w:fldChar w:fldCharType="end"/>
      </w:r>
    </w:p>
    <w:p w14:paraId="36035A3B">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HYPERLINK\l"bookmark18"</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9特定对象及行业标准子体系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3</w:t>
      </w:r>
    </w:p>
    <w:p w14:paraId="0C67AF43">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HYPERLINK\l"bookmark19"</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3</w:t>
      </w:r>
      <w:r>
        <w:rPr>
          <w:rFonts w:hint="eastAsia" w:ascii="宋体" w:hAnsi="宋体" w:eastAsia="宋体" w:cs="宋体"/>
          <w:spacing w:val="-6"/>
          <w:sz w:val="21"/>
          <w:szCs w:val="21"/>
        </w:rPr>
        <w:fldChar w:fldCharType="end"/>
      </w:r>
    </w:p>
    <w:p w14:paraId="4155604F">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HYPERLINK\l"bookmark20"</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9.2软件开发费用测算规范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4</w:t>
      </w:r>
      <w:r>
        <w:rPr>
          <w:rFonts w:hint="eastAsia" w:ascii="宋体" w:hAnsi="宋体" w:eastAsia="宋体" w:cs="宋体"/>
          <w:spacing w:val="-6"/>
          <w:sz w:val="21"/>
          <w:szCs w:val="21"/>
        </w:rPr>
        <w:fldChar w:fldCharType="end"/>
      </w:r>
    </w:p>
    <w:p w14:paraId="1A1E2575">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HYPERLINK\l"bookmark21"</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9.3信息系统运行维护费用测算规范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4</w:t>
      </w:r>
      <w:r>
        <w:rPr>
          <w:rFonts w:hint="eastAsia" w:ascii="宋体" w:hAnsi="宋体" w:eastAsia="宋体" w:cs="宋体"/>
          <w:spacing w:val="-6"/>
          <w:sz w:val="21"/>
          <w:szCs w:val="21"/>
        </w:rPr>
        <w:fldChar w:fldCharType="end"/>
      </w:r>
    </w:p>
    <w:p w14:paraId="1E97D887">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HYPERLINK\l"bookmark22"</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9.4数据资源建设费用测算标准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5</w:t>
      </w:r>
    </w:p>
    <w:p w14:paraId="52C6EE96">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HYPERLINK\l"bookmark23"</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9.5信创项目费用测算标准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5</w:t>
      </w:r>
    </w:p>
    <w:p w14:paraId="3F253EF8">
      <w:pPr>
        <w:keepNext w:val="0"/>
        <w:keepLines w:val="0"/>
        <w:pageBreakBefore w:val="0"/>
        <w:widowControl/>
        <w:tabs>
          <w:tab w:val="right" w:leader="dot" w:pos="9325"/>
        </w:tabs>
        <w:kinsoku w:val="0"/>
        <w:wordWrap/>
        <w:overflowPunct/>
        <w:topLinePunct w:val="0"/>
        <w:autoSpaceDE w:val="0"/>
        <w:autoSpaceDN w:val="0"/>
        <w:bidi w:val="0"/>
        <w:spacing w:before="171" w:line="360" w:lineRule="auto"/>
        <w:jc w:val="right"/>
        <w:rPr>
          <w:rFonts w:hint="eastAsia" w:ascii="宋体" w:hAnsi="宋体" w:eastAsia="宋体" w:cs="宋体"/>
          <w:spacing w:val="-6"/>
          <w:sz w:val="21"/>
          <w:szCs w:val="21"/>
        </w:rPr>
      </w:pPr>
      <w:r>
        <w:rPr>
          <w:rFonts w:hint="eastAsia" w:ascii="宋体" w:hAnsi="宋体" w:eastAsia="宋体" w:cs="宋体"/>
          <w:spacing w:val="-6"/>
          <w:sz w:val="21"/>
          <w:szCs w:val="21"/>
        </w:rPr>
        <w:t>T/XXXX-2025</w:t>
      </w:r>
    </w:p>
    <w:p w14:paraId="38C8792D">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HYPERLINK\l"bookmark24"</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9.6其他特定行业或对象费用测算规范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5</w:t>
      </w:r>
    </w:p>
    <w:p w14:paraId="7B291D2A">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HYPERLINK\l"bookmark25"</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10数智评审标准子体系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5</w:t>
      </w:r>
    </w:p>
    <w:p w14:paraId="4B7BF07D">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HYPERLINK\l"bookmark26"</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10.1子体系结构图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t>5</w:t>
      </w:r>
      <w:r>
        <w:rPr>
          <w:rFonts w:hint="eastAsia" w:ascii="宋体" w:hAnsi="宋体" w:eastAsia="宋体" w:cs="宋体"/>
          <w:spacing w:val="-6"/>
          <w:sz w:val="21"/>
          <w:szCs w:val="21"/>
        </w:rPr>
        <w:fldChar w:fldCharType="end"/>
      </w:r>
    </w:p>
    <w:p w14:paraId="0259B99F">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HYPERLINK\l"bookmark27"</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10.2信息化项目评审数智工具建设规范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6</w:t>
      </w:r>
    </w:p>
    <w:p w14:paraId="57726661">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HYPERLINK\l"bookmark28"</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10.3信息化项目造价数据标准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6</w:t>
      </w:r>
    </w:p>
    <w:p w14:paraId="573C0F83">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HYPERLINK\l"bookmark29"</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11管理监督标准子体系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7</w:t>
      </w:r>
    </w:p>
    <w:p w14:paraId="3FD68EAB">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HYPERLINK\l"bookmark30"</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7</w:t>
      </w:r>
    </w:p>
    <w:p w14:paraId="54D3DFAF">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HYPERLINK\l"bookmark31"</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11.2信息化项目造价咨询机构管理规范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8</w:t>
      </w:r>
    </w:p>
    <w:p w14:paraId="03294F8A">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HYPERLINK\l"bookmark32"</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11.3信息化项目造价咨询服务质量监督规范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8</w:t>
      </w:r>
    </w:p>
    <w:p w14:paraId="3B863CA6">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HYPERLINK\l"bookmark33"</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11.4信息化项目造价机构服务能力评价规范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8</w:t>
      </w:r>
    </w:p>
    <w:p w14:paraId="66C0A996">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HYPERLINK\l"bookmark34"</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11.5信息化项目造价人员能力等级评价</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8</w:t>
      </w:r>
    </w:p>
    <w:p w14:paraId="1C16C856">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HYPERLINK\l"bookmark35"</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11.6信息化项目造价咨询档案管理规范</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9</w:t>
      </w:r>
    </w:p>
    <w:p w14:paraId="3A86195A">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HYPERLINK\l"bookmark36"</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12服务评价标准子体系</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9</w:t>
      </w:r>
    </w:p>
    <w:p w14:paraId="4035C0E7">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HYPERLINK\l"bookmark37"</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12.1子体系结构图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1</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9</w:t>
      </w:r>
    </w:p>
    <w:p w14:paraId="49311E4A">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HYPERLINK\l"bookmark38"</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12.2信息化项目造价客户满意度评价标准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2</w:t>
      </w:r>
      <w:r>
        <w:rPr>
          <w:rFonts w:hint="eastAsia" w:ascii="宋体" w:hAnsi="宋体" w:eastAsia="宋体" w:cs="宋体"/>
          <w:spacing w:val="-6"/>
          <w:sz w:val="21"/>
          <w:szCs w:val="21"/>
        </w:rPr>
        <w:fldChar w:fldCharType="end"/>
      </w:r>
      <w:bookmarkStart w:id="1" w:name="bookmark22"/>
      <w:bookmarkEnd w:id="1"/>
      <w:bookmarkStart w:id="2" w:name="bookmark20"/>
      <w:bookmarkEnd w:id="2"/>
      <w:bookmarkStart w:id="3" w:name="bookmark24"/>
      <w:bookmarkEnd w:id="3"/>
      <w:bookmarkStart w:id="4" w:name="bookmark21"/>
      <w:bookmarkEnd w:id="4"/>
      <w:bookmarkStart w:id="5" w:name="bookmark39"/>
      <w:bookmarkEnd w:id="5"/>
      <w:bookmarkStart w:id="6" w:name="bookmark23"/>
      <w:bookmarkEnd w:id="6"/>
      <w:r>
        <w:rPr>
          <w:rFonts w:hint="eastAsia" w:ascii="宋体" w:hAnsi="宋体" w:eastAsia="宋体" w:cs="宋体"/>
          <w:spacing w:val="-6"/>
          <w:sz w:val="21"/>
          <w:szCs w:val="21"/>
          <w:lang w:val="en-US" w:eastAsia="zh-CN"/>
        </w:rPr>
        <w:t>0</w:t>
      </w:r>
    </w:p>
    <w:p w14:paraId="04711D11">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HYPERLINK\l"bookmark40"</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12.3信息化项目造价行业竞争力评价标准</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2</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0</w:t>
      </w:r>
    </w:p>
    <w:p w14:paraId="2BCBC38C">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HYPERLINK\l"bookmark41"</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附录A(资料性)标准体系结构图</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2</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2</w:t>
      </w:r>
    </w:p>
    <w:p w14:paraId="408032B7">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HYPERLINK\l"bookmark42"</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附录B(资料性)标准统计表</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2</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3</w:t>
      </w:r>
    </w:p>
    <w:p w14:paraId="38D2B9A4">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HYPERLINK\l"bookmark43"</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rPr>
        <w:t>附录C(资料性)标准明细表</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2</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4</w:t>
      </w:r>
    </w:p>
    <w:p w14:paraId="2A0DCAB9">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hint="eastAsia" w:ascii="黑体" w:hAnsi="黑体" w:eastAsia="黑体" w:cs="黑体"/>
          <w:spacing w:val="-6"/>
          <w:sz w:val="28"/>
          <w:szCs w:val="28"/>
          <w:lang w:val="en-US" w:eastAsia="zh-CN"/>
        </w:rPr>
      </w:pPr>
      <w:r>
        <w:rPr>
          <w:rFonts w:hint="eastAsia" w:ascii="宋体" w:hAnsi="宋体" w:eastAsia="宋体" w:cs="宋体"/>
          <w:spacing w:val="-6"/>
          <w:sz w:val="21"/>
          <w:szCs w:val="21"/>
        </w:rPr>
        <w:fldChar w:fldCharType="begin"/>
      </w:r>
      <w:r>
        <w:rPr>
          <w:rFonts w:hint="eastAsia" w:ascii="宋体" w:hAnsi="宋体" w:eastAsia="宋体" w:cs="宋体"/>
          <w:spacing w:val="-6"/>
          <w:sz w:val="21"/>
          <w:szCs w:val="21"/>
        </w:rPr>
        <w:instrText xml:space="preserve">HYPERLINK\l"bookmark43"</w:instrText>
      </w:r>
      <w:r>
        <w:rPr>
          <w:rFonts w:hint="eastAsia" w:ascii="宋体" w:hAnsi="宋体" w:eastAsia="宋体" w:cs="宋体"/>
          <w:spacing w:val="-6"/>
          <w:sz w:val="21"/>
          <w:szCs w:val="21"/>
        </w:rPr>
        <w:fldChar w:fldCharType="separate"/>
      </w:r>
      <w:r>
        <w:rPr>
          <w:rFonts w:hint="eastAsia" w:ascii="宋体" w:hAnsi="宋体" w:eastAsia="宋体" w:cs="宋体"/>
          <w:spacing w:val="-6"/>
          <w:sz w:val="21"/>
          <w:szCs w:val="21"/>
          <w:lang w:val="en-US" w:eastAsia="zh-CN"/>
        </w:rPr>
        <w:t>参考文献</w:t>
      </w:r>
      <w:r>
        <w:rPr>
          <w:rFonts w:hint="eastAsia" w:ascii="宋体" w:hAnsi="宋体" w:eastAsia="宋体" w:cs="宋体"/>
          <w:spacing w:val="-6"/>
          <w:sz w:val="21"/>
          <w:szCs w:val="21"/>
        </w:rPr>
        <w:tab/>
      </w:r>
      <w:r>
        <w:rPr>
          <w:rFonts w:hint="eastAsia" w:ascii="宋体" w:hAnsi="宋体" w:eastAsia="宋体" w:cs="宋体"/>
          <w:spacing w:val="-6"/>
          <w:sz w:val="21"/>
          <w:szCs w:val="21"/>
          <w:lang w:val="en-US" w:eastAsia="zh-CN"/>
        </w:rPr>
        <w:t>3</w:t>
      </w:r>
      <w:r>
        <w:rPr>
          <w:rFonts w:hint="eastAsia" w:ascii="宋体" w:hAnsi="宋体" w:eastAsia="宋体" w:cs="宋体"/>
          <w:spacing w:val="-6"/>
          <w:sz w:val="21"/>
          <w:szCs w:val="21"/>
        </w:rPr>
        <w:fldChar w:fldCharType="end"/>
      </w:r>
      <w:r>
        <w:rPr>
          <w:rFonts w:hint="eastAsia" w:ascii="宋体" w:hAnsi="宋体" w:eastAsia="宋体" w:cs="宋体"/>
          <w:spacing w:val="-6"/>
          <w:sz w:val="21"/>
          <w:szCs w:val="21"/>
          <w:lang w:val="en-US" w:eastAsia="zh-CN"/>
        </w:rPr>
        <w:t>4</w:t>
      </w:r>
    </w:p>
    <w:p w14:paraId="437202A4">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ascii="Times New Roman" w:hAnsi="Times New Roman" w:eastAsia="Times New Roman" w:cs="Times New Roman"/>
          <w:sz w:val="20"/>
          <w:szCs w:val="20"/>
        </w:rPr>
      </w:pPr>
    </w:p>
    <w:p w14:paraId="6A01C2B5">
      <w:pPr>
        <w:keepNext w:val="0"/>
        <w:keepLines w:val="0"/>
        <w:pageBreakBefore w:val="0"/>
        <w:widowControl/>
        <w:tabs>
          <w:tab w:val="right" w:leader="dot" w:pos="9325"/>
        </w:tabs>
        <w:kinsoku w:val="0"/>
        <w:wordWrap/>
        <w:overflowPunct/>
        <w:topLinePunct w:val="0"/>
        <w:autoSpaceDE w:val="0"/>
        <w:autoSpaceDN w:val="0"/>
        <w:bidi w:val="0"/>
        <w:spacing w:before="171" w:line="360" w:lineRule="auto"/>
        <w:rPr>
          <w:rFonts w:ascii="Times New Roman" w:hAnsi="Times New Roman" w:eastAsia="Times New Roman" w:cs="Times New Roman"/>
          <w:sz w:val="20"/>
          <w:szCs w:val="20"/>
        </w:rPr>
        <w:sectPr>
          <w:headerReference r:id="rId6" w:type="default"/>
          <w:footerReference r:id="rId7" w:type="default"/>
          <w:pgSz w:w="11900" w:h="16832"/>
          <w:pgMar w:top="1417" w:right="1134" w:bottom="1134" w:left="1417" w:header="0" w:footer="1128" w:gutter="0"/>
          <w:paperSrc/>
          <w:pgNumType w:fmt="decimal"/>
          <w:cols w:space="720" w:num="1"/>
          <w:rtlGutter w:val="0"/>
          <w:docGrid w:linePitch="0" w:charSpace="0"/>
        </w:sectPr>
      </w:pPr>
    </w:p>
    <w:p w14:paraId="1181DE8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bookmarkStart w:id="7" w:name="bookmark30"/>
      <w:bookmarkEnd w:id="7"/>
      <w:bookmarkStart w:id="8" w:name="bookmark27"/>
      <w:bookmarkEnd w:id="8"/>
      <w:bookmarkStart w:id="9" w:name="bookmark25"/>
      <w:bookmarkEnd w:id="9"/>
      <w:bookmarkStart w:id="10" w:name="bookmark2"/>
      <w:bookmarkEnd w:id="10"/>
      <w:bookmarkStart w:id="11" w:name="bookmark28"/>
      <w:bookmarkEnd w:id="11"/>
      <w:bookmarkStart w:id="12" w:name="bookmark45"/>
      <w:bookmarkEnd w:id="12"/>
      <w:bookmarkStart w:id="13" w:name="bookmark26"/>
      <w:bookmarkEnd w:id="13"/>
      <w:bookmarkStart w:id="14" w:name="bookmark29"/>
      <w:bookmarkEnd w:id="14"/>
      <w:r>
        <w:rPr>
          <w:rFonts w:hint="eastAsia" w:ascii="宋体" w:hAnsi="宋体" w:eastAsia="宋体" w:cs="宋体"/>
          <w:b w:val="0"/>
          <w:bCs w:val="0"/>
          <w:spacing w:val="-9"/>
          <w:sz w:val="21"/>
          <w:szCs w:val="21"/>
        </w:rPr>
        <w:t>T/XXXX-2025</w:t>
      </w:r>
    </w:p>
    <w:p w14:paraId="3512437A">
      <w:pPr>
        <w:keepNext w:val="0"/>
        <w:keepLines w:val="0"/>
        <w:pageBreakBefore w:val="0"/>
        <w:widowControl/>
        <w:kinsoku w:val="0"/>
        <w:wordWrap/>
        <w:overflowPunct/>
        <w:topLinePunct w:val="0"/>
        <w:autoSpaceDE w:val="0"/>
        <w:autoSpaceDN w:val="0"/>
        <w:bidi w:val="0"/>
        <w:adjustRightInd w:val="0"/>
        <w:snapToGrid w:val="0"/>
        <w:spacing w:before="98" w:line="680" w:lineRule="atLeast"/>
        <w:jc w:val="center"/>
        <w:textAlignment w:val="baseline"/>
        <w:outlineLvl w:val="0"/>
        <w:rPr>
          <w:sz w:val="32"/>
          <w:szCs w:val="32"/>
        </w:rPr>
      </w:pPr>
      <w:r>
        <w:rPr>
          <w:rFonts w:ascii="黑体" w:hAnsi="黑体" w:eastAsia="黑体" w:cs="黑体"/>
          <w:b/>
          <w:bCs/>
          <w:spacing w:val="-9"/>
          <w:sz w:val="32"/>
          <w:szCs w:val="32"/>
        </w:rPr>
        <w:t>前言</w:t>
      </w:r>
    </w:p>
    <w:p w14:paraId="15C1A7DB">
      <w:pPr>
        <w:keepNext w:val="0"/>
        <w:keepLines w:val="0"/>
        <w:pageBreakBefore w:val="0"/>
        <w:widowControl w:val="0"/>
        <w:kinsoku/>
        <w:wordWrap/>
        <w:overflowPunct/>
        <w:topLinePunct w:val="0"/>
        <w:autoSpaceDE w:val="0"/>
        <w:autoSpaceDN w:val="0"/>
        <w:bidi w:val="0"/>
        <w:adjustRightInd w:val="0"/>
        <w:snapToGrid w:val="0"/>
        <w:spacing w:line="360" w:lineRule="auto"/>
        <w:ind w:right="22" w:firstLine="444" w:firstLineChars="200"/>
        <w:jc w:val="left"/>
        <w:textAlignment w:val="baseline"/>
        <w:rPr>
          <w:rFonts w:hint="eastAsia" w:ascii="宋体" w:hAnsi="宋体" w:eastAsia="宋体" w:cs="宋体"/>
          <w:sz w:val="21"/>
          <w:szCs w:val="21"/>
        </w:rPr>
      </w:pPr>
      <w:r>
        <w:rPr>
          <w:rFonts w:hint="eastAsia" w:ascii="宋体" w:hAnsi="宋体" w:eastAsia="宋体" w:cs="宋体"/>
          <w:spacing w:val="6"/>
          <w:sz w:val="21"/>
          <w:szCs w:val="21"/>
        </w:rPr>
        <w:t>本文件按照</w:t>
      </w:r>
      <w:r>
        <w:rPr>
          <w:rFonts w:hint="eastAsia" w:ascii="宋体" w:hAnsi="宋体" w:eastAsia="宋体" w:cs="宋体"/>
          <w:sz w:val="21"/>
          <w:szCs w:val="21"/>
        </w:rPr>
        <w:t>GB</w:t>
      </w:r>
      <w:r>
        <w:rPr>
          <w:rFonts w:hint="eastAsia" w:ascii="宋体" w:hAnsi="宋体" w:eastAsia="宋体" w:cs="宋体"/>
          <w:spacing w:val="6"/>
          <w:sz w:val="21"/>
          <w:szCs w:val="21"/>
        </w:rPr>
        <w:t>/T 1.1—2020《标准化工作导则第1部分：标准化文件的结构和起草规则》的规定起草。</w:t>
      </w:r>
    </w:p>
    <w:p w14:paraId="27FC6D90">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baseline"/>
        <w:rPr>
          <w:rFonts w:hint="eastAsia" w:ascii="宋体" w:hAnsi="宋体" w:eastAsia="宋体" w:cs="宋体"/>
          <w:sz w:val="21"/>
          <w:szCs w:val="21"/>
        </w:rPr>
      </w:pPr>
      <w:r>
        <w:rPr>
          <w:rFonts w:hint="eastAsia" w:ascii="宋体" w:hAnsi="宋体" w:eastAsia="宋体" w:cs="宋体"/>
          <w:spacing w:val="9"/>
          <w:sz w:val="21"/>
          <w:szCs w:val="21"/>
        </w:rPr>
        <w:t>请注意本文件的某些内容有可能涉及专利，本文件的发布机构不承担识别这些专利的责任。</w:t>
      </w:r>
    </w:p>
    <w:p w14:paraId="0873E935">
      <w:pPr>
        <w:keepNext w:val="0"/>
        <w:keepLines w:val="0"/>
        <w:pageBreakBefore w:val="0"/>
        <w:widowControl w:val="0"/>
        <w:kinsoku/>
        <w:wordWrap/>
        <w:overflowPunct/>
        <w:topLinePunct w:val="0"/>
        <w:autoSpaceDE w:val="0"/>
        <w:autoSpaceDN w:val="0"/>
        <w:bidi w:val="0"/>
        <w:adjustRightInd w:val="0"/>
        <w:snapToGrid w:val="0"/>
        <w:spacing w:line="360" w:lineRule="auto"/>
        <w:ind w:firstLine="436" w:firstLineChars="200"/>
        <w:textAlignment w:val="baseline"/>
        <w:rPr>
          <w:rFonts w:hint="eastAsia" w:ascii="宋体" w:hAnsi="宋体" w:eastAsia="宋体" w:cs="宋体"/>
          <w:sz w:val="21"/>
          <w:szCs w:val="21"/>
        </w:rPr>
      </w:pPr>
      <w:r>
        <w:rPr>
          <w:rFonts w:hint="eastAsia" w:ascii="宋体" w:hAnsi="宋体" w:eastAsia="宋体" w:cs="宋体"/>
          <w:spacing w:val="4"/>
          <w:sz w:val="21"/>
          <w:szCs w:val="21"/>
        </w:rPr>
        <w:t>本文件由</w:t>
      </w:r>
      <w:r>
        <w:rPr>
          <w:rFonts w:hint="eastAsia" w:ascii="宋体" w:hAnsi="宋体" w:eastAsia="宋体" w:cs="宋体"/>
          <w:spacing w:val="4"/>
          <w:sz w:val="21"/>
          <w:szCs w:val="21"/>
          <w:lang w:val="en-US" w:eastAsia="zh-CN"/>
        </w:rPr>
        <w:t>陕西省软件行业</w:t>
      </w:r>
      <w:r>
        <w:rPr>
          <w:rFonts w:hint="eastAsia" w:ascii="宋体" w:hAnsi="宋体" w:eastAsia="宋体" w:cs="宋体"/>
          <w:spacing w:val="4"/>
          <w:sz w:val="21"/>
          <w:szCs w:val="21"/>
        </w:rPr>
        <w:t>协会提出并归口。</w:t>
      </w:r>
    </w:p>
    <w:p w14:paraId="1C8B47BE">
      <w:pPr>
        <w:keepNext w:val="0"/>
        <w:keepLines w:val="0"/>
        <w:pageBreakBefore w:val="0"/>
        <w:widowControl w:val="0"/>
        <w:kinsoku/>
        <w:wordWrap/>
        <w:overflowPunct/>
        <w:topLinePunct w:val="0"/>
        <w:autoSpaceDE w:val="0"/>
        <w:autoSpaceDN w:val="0"/>
        <w:bidi w:val="0"/>
        <w:adjustRightInd w:val="0"/>
        <w:snapToGrid w:val="0"/>
        <w:spacing w:line="360" w:lineRule="auto"/>
        <w:ind w:firstLine="412" w:firstLineChars="200"/>
        <w:textAlignment w:val="baseline"/>
        <w:rPr>
          <w:rFonts w:hint="eastAsia" w:ascii="宋体" w:hAnsi="宋体" w:eastAsia="宋体" w:cs="宋体"/>
          <w:sz w:val="21"/>
          <w:szCs w:val="21"/>
        </w:rPr>
      </w:pPr>
      <w:r>
        <w:rPr>
          <w:rFonts w:hint="eastAsia" w:ascii="宋体" w:hAnsi="宋体" w:eastAsia="宋体" w:cs="宋体"/>
          <w:spacing w:val="-2"/>
          <w:sz w:val="21"/>
          <w:szCs w:val="21"/>
        </w:rPr>
        <w:t>本文件起草单位：</w:t>
      </w:r>
      <w:r>
        <w:rPr>
          <w:rFonts w:hint="eastAsia" w:ascii="宋体" w:hAnsi="宋体" w:eastAsia="宋体" w:cs="宋体"/>
          <w:spacing w:val="-2"/>
          <w:sz w:val="21"/>
          <w:szCs w:val="21"/>
          <w:lang w:val="en-US" w:eastAsia="zh-CN"/>
        </w:rPr>
        <w:t>陕西卓信信息技术服务有限公司</w:t>
      </w:r>
      <w:r>
        <w:rPr>
          <w:rFonts w:hint="eastAsia" w:ascii="宋体" w:hAnsi="宋体" w:eastAsia="宋体" w:cs="宋体"/>
          <w:spacing w:val="-2"/>
          <w:sz w:val="21"/>
          <w:szCs w:val="21"/>
        </w:rPr>
        <w:t>。</w:t>
      </w:r>
    </w:p>
    <w:p w14:paraId="7545F482">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16" w:firstLineChars="200"/>
        <w:textAlignment w:val="baseline"/>
        <w:rPr>
          <w:rFonts w:hint="eastAsia" w:ascii="宋体" w:hAnsi="宋体" w:eastAsia="宋体" w:cs="宋体"/>
          <w:sz w:val="21"/>
          <w:szCs w:val="21"/>
          <w:lang w:val="en-US" w:eastAsia="zh-CN"/>
        </w:rPr>
        <w:sectPr>
          <w:footerReference r:id="rId8" w:type="default"/>
          <w:pgSz w:w="11900" w:h="16832"/>
          <w:pgMar w:top="1417" w:right="1134" w:bottom="2154" w:left="1417" w:header="0" w:footer="1128" w:gutter="0"/>
          <w:paperSrc/>
          <w:pgNumType w:fmt="decimal"/>
          <w:cols w:space="720" w:num="1"/>
          <w:rtlGutter w:val="0"/>
          <w:docGrid w:linePitch="0" w:charSpace="0"/>
        </w:sectPr>
      </w:pPr>
      <w:r>
        <w:rPr>
          <w:rFonts w:hint="eastAsia" w:ascii="宋体" w:hAnsi="宋体" w:eastAsia="宋体" w:cs="宋体"/>
          <w:spacing w:val="-1"/>
          <w:sz w:val="21"/>
          <w:szCs w:val="21"/>
        </w:rPr>
        <w:t>本文件主要起草人：</w:t>
      </w:r>
      <w:r>
        <w:rPr>
          <w:rFonts w:hint="eastAsia" w:ascii="宋体" w:hAnsi="宋体" w:eastAsia="宋体" w:cs="宋体"/>
          <w:spacing w:val="-1"/>
          <w:sz w:val="21"/>
          <w:szCs w:val="21"/>
          <w:lang w:val="en-US" w:eastAsia="zh-CN"/>
        </w:rPr>
        <w:t>郑斌</w:t>
      </w:r>
    </w:p>
    <w:p w14:paraId="2BD8E696">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5"/>
          <w:sz w:val="32"/>
          <w:szCs w:val="32"/>
          <w:lang w:val="en-US" w:eastAsia="zh-CN"/>
        </w:rPr>
      </w:pPr>
      <w:bookmarkStart w:id="15" w:name="bookmark46"/>
      <w:bookmarkEnd w:id="15"/>
      <w:r>
        <w:rPr>
          <w:rFonts w:hint="eastAsia" w:ascii="宋体" w:hAnsi="宋体" w:eastAsia="宋体" w:cs="宋体"/>
          <w:b w:val="0"/>
          <w:bCs w:val="0"/>
          <w:spacing w:val="-9"/>
          <w:sz w:val="21"/>
          <w:szCs w:val="21"/>
        </w:rPr>
        <w:t>T/XXXX-2025</w:t>
      </w:r>
    </w:p>
    <w:p w14:paraId="2FE5C48B">
      <w:pPr>
        <w:keepNext w:val="0"/>
        <w:keepLines w:val="0"/>
        <w:pageBreakBefore w:val="0"/>
        <w:widowControl/>
        <w:kinsoku w:val="0"/>
        <w:wordWrap/>
        <w:overflowPunct/>
        <w:topLinePunct w:val="0"/>
        <w:autoSpaceDE w:val="0"/>
        <w:autoSpaceDN w:val="0"/>
        <w:bidi w:val="0"/>
        <w:spacing w:before="329" w:line="360" w:lineRule="auto"/>
        <w:jc w:val="center"/>
        <w:rPr>
          <w:rFonts w:hint="eastAsia" w:ascii="黑体" w:hAnsi="黑体" w:eastAsia="黑体" w:cs="黑体"/>
          <w:b w:val="0"/>
          <w:bCs w:val="0"/>
          <w:sz w:val="32"/>
          <w:szCs w:val="32"/>
        </w:rPr>
      </w:pPr>
      <w:r>
        <w:rPr>
          <w:rFonts w:hint="eastAsia" w:ascii="黑体" w:hAnsi="黑体" w:eastAsia="黑体" w:cs="黑体"/>
          <w:b w:val="0"/>
          <w:bCs w:val="0"/>
          <w:spacing w:val="5"/>
          <w:sz w:val="32"/>
          <w:szCs w:val="32"/>
          <w:lang w:val="en-US" w:eastAsia="zh-CN"/>
        </w:rPr>
        <w:t>陕西</w:t>
      </w:r>
      <w:r>
        <w:rPr>
          <w:rFonts w:hint="eastAsia" w:ascii="黑体" w:hAnsi="黑体" w:eastAsia="黑体" w:cs="黑体"/>
          <w:b w:val="0"/>
          <w:bCs w:val="0"/>
          <w:spacing w:val="5"/>
          <w:sz w:val="32"/>
          <w:szCs w:val="32"/>
        </w:rPr>
        <w:t>省信息化项目费用测算标准</w:t>
      </w:r>
    </w:p>
    <w:p w14:paraId="77B4595F">
      <w:pPr>
        <w:pStyle w:val="2"/>
        <w:keepNext w:val="0"/>
        <w:keepLines w:val="0"/>
        <w:pageBreakBefore w:val="0"/>
        <w:widowControl/>
        <w:kinsoku w:val="0"/>
        <w:wordWrap/>
        <w:overflowPunct/>
        <w:topLinePunct w:val="0"/>
        <w:autoSpaceDE w:val="0"/>
        <w:autoSpaceDN w:val="0"/>
        <w:bidi w:val="0"/>
        <w:spacing w:line="360" w:lineRule="auto"/>
      </w:pPr>
    </w:p>
    <w:p w14:paraId="1546AEB3">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z w:val="21"/>
          <w:szCs w:val="21"/>
        </w:rPr>
      </w:pPr>
      <w:bookmarkStart w:id="16" w:name="bookmark3"/>
      <w:bookmarkEnd w:id="16"/>
      <w:r>
        <w:rPr>
          <w:rFonts w:hint="eastAsia" w:ascii="黑体" w:hAnsi="黑体" w:eastAsia="黑体" w:cs="黑体"/>
          <w:b w:val="0"/>
          <w:bCs w:val="0"/>
          <w:spacing w:val="-12"/>
          <w:sz w:val="21"/>
          <w:szCs w:val="21"/>
        </w:rPr>
        <w:t>1</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范围</w:t>
      </w:r>
    </w:p>
    <w:p w14:paraId="3490E97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方正仿宋_GB2312" w:hAnsi="方正仿宋_GB2312" w:eastAsia="方正仿宋_GB2312" w:cs="方正仿宋_GB2312"/>
          <w:sz w:val="32"/>
          <w:szCs w:val="32"/>
        </w:rPr>
      </w:pPr>
      <w:r>
        <w:rPr>
          <w:rFonts w:hint="eastAsia" w:ascii="宋体" w:hAnsi="宋体" w:eastAsia="宋体" w:cs="宋体"/>
          <w:sz w:val="21"/>
          <w:szCs w:val="21"/>
        </w:rPr>
        <w:t>本文件规定了信息化项目造价咨询服务标准体系的构建原则、总体框架、各子体系</w:t>
      </w:r>
      <w:r>
        <w:rPr>
          <w:rFonts w:hint="eastAsia" w:ascii="宋体" w:hAnsi="宋体" w:eastAsia="宋体" w:cs="宋体"/>
          <w:spacing w:val="-1"/>
          <w:sz w:val="21"/>
          <w:szCs w:val="21"/>
        </w:rPr>
        <w:t>的内容及要求。</w:t>
      </w:r>
      <w:r>
        <w:rPr>
          <w:rFonts w:hint="eastAsia" w:ascii="宋体" w:hAnsi="宋体" w:eastAsia="宋体" w:cs="宋体"/>
          <w:spacing w:val="-2"/>
          <w:sz w:val="21"/>
          <w:szCs w:val="21"/>
        </w:rPr>
        <w:t>适用于指导信息化项目造价咨询服务领域标准的制定、修订、实施与评价，</w:t>
      </w:r>
      <w:r>
        <w:rPr>
          <w:rFonts w:hint="eastAsia" w:ascii="宋体" w:hAnsi="宋体" w:eastAsia="宋体" w:cs="宋体"/>
          <w:spacing w:val="-3"/>
          <w:sz w:val="21"/>
          <w:szCs w:val="21"/>
        </w:rPr>
        <w:t>涵盖咨询服务的全过程，包</w:t>
      </w:r>
      <w:r>
        <w:rPr>
          <w:rFonts w:hint="eastAsia" w:ascii="宋体" w:hAnsi="宋体" w:eastAsia="宋体" w:cs="宋体"/>
          <w:sz w:val="21"/>
          <w:szCs w:val="21"/>
        </w:rPr>
        <w:t>括服务通用基础、业务流程、特定对象及行业造价管理、数智</w:t>
      </w:r>
      <w:r>
        <w:rPr>
          <w:rFonts w:hint="eastAsia" w:ascii="宋体" w:hAnsi="宋体" w:eastAsia="宋体" w:cs="宋体"/>
          <w:spacing w:val="-1"/>
          <w:sz w:val="21"/>
          <w:szCs w:val="21"/>
        </w:rPr>
        <w:t>评审、管理监督及服务评价等方面。</w:t>
      </w:r>
    </w:p>
    <w:p w14:paraId="08BD8168">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17" w:name="bookmark4"/>
      <w:bookmarkEnd w:id="17"/>
      <w:r>
        <w:rPr>
          <w:rFonts w:hint="eastAsia" w:ascii="黑体" w:hAnsi="黑体" w:eastAsia="黑体" w:cs="黑体"/>
          <w:b w:val="0"/>
          <w:bCs w:val="0"/>
          <w:spacing w:val="-12"/>
          <w:sz w:val="21"/>
          <w:szCs w:val="21"/>
        </w:rPr>
        <w:t>2</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规范性引用文件</w:t>
      </w:r>
    </w:p>
    <w:p w14:paraId="7BDFB4D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下列文件中的内容通过文中的规范性引用而构成本文件必不可少的条款。其中，注日期的引用文件，仅该日期对应的版本适用于本文件；不注日期的引用文件，其最新版本(包括所有的修改单)适用于本</w:t>
      </w:r>
      <w:r>
        <w:rPr>
          <w:rFonts w:hint="eastAsia" w:ascii="宋体" w:hAnsi="宋体" w:eastAsia="宋体" w:cs="宋体"/>
          <w:sz w:val="21"/>
          <w:szCs w:val="21"/>
          <w:lang w:val="en-US" w:eastAsia="zh-CN"/>
        </w:rPr>
        <w:t>文件</w:t>
      </w:r>
      <w:r>
        <w:rPr>
          <w:rFonts w:hint="eastAsia" w:ascii="宋体" w:hAnsi="宋体" w:eastAsia="宋体" w:cs="宋体"/>
          <w:sz w:val="21"/>
          <w:szCs w:val="21"/>
        </w:rPr>
        <w:t>。</w:t>
      </w:r>
    </w:p>
    <w:p w14:paraId="1F2D4F9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GB/T 13016—2018标准体系构建原则和要求</w:t>
      </w:r>
    </w:p>
    <w:p w14:paraId="2041FA7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lang w:eastAsia="zh-CN"/>
        </w:rPr>
      </w:pPr>
      <w:r>
        <w:rPr>
          <w:rFonts w:hint="eastAsia" w:ascii="宋体" w:hAnsi="宋体" w:eastAsia="宋体" w:cs="宋体"/>
          <w:sz w:val="21"/>
          <w:szCs w:val="21"/>
        </w:rPr>
        <w:t>GB/T 24421.2—2023服务业组织标准化工作指南第2部分：标准体系构建</w:t>
      </w:r>
      <w:r>
        <w:rPr>
          <w:rFonts w:hint="eastAsia" w:ascii="宋体" w:hAnsi="宋体" w:eastAsia="宋体" w:cs="宋体"/>
          <w:sz w:val="21"/>
          <w:szCs w:val="21"/>
          <w:lang w:eastAsia="zh-CN"/>
        </w:rPr>
        <w:t>。</w:t>
      </w:r>
    </w:p>
    <w:p w14:paraId="6747D608">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18" w:name="bookmark5"/>
      <w:bookmarkEnd w:id="18"/>
      <w:r>
        <w:rPr>
          <w:rFonts w:hint="eastAsia" w:ascii="黑体" w:hAnsi="黑体" w:eastAsia="黑体" w:cs="黑体"/>
          <w:b w:val="0"/>
          <w:bCs w:val="0"/>
          <w:spacing w:val="-12"/>
          <w:sz w:val="21"/>
          <w:szCs w:val="21"/>
        </w:rPr>
        <w:t>3</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术语和定义</w:t>
      </w:r>
    </w:p>
    <w:p w14:paraId="757A2F3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下列术语和定义适用于本文件。</w:t>
      </w:r>
    </w:p>
    <w:p w14:paraId="7384DBF8">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3.1信息化项目造价cost</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of information technology project</w:t>
      </w:r>
    </w:p>
    <w:p w14:paraId="3EA386B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信息化项目在各阶段估计或实际支出的项目实施费用及运行维护、运营过程中产生的费用。</w:t>
      </w:r>
    </w:p>
    <w:p w14:paraId="59B87ED9">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3.2信息化项目造价咨询cost consulting for infor</w:t>
      </w:r>
      <w:r>
        <w:rPr>
          <w:rFonts w:hint="eastAsia" w:ascii="黑体" w:hAnsi="黑体" w:eastAsia="黑体" w:cs="黑体"/>
          <w:b w:val="0"/>
          <w:bCs w:val="0"/>
          <w:spacing w:val="-12"/>
          <w:sz w:val="21"/>
          <w:szCs w:val="21"/>
          <w:lang w:val="en-US" w:eastAsia="zh-CN"/>
        </w:rPr>
        <w:t>m</w:t>
      </w:r>
      <w:r>
        <w:rPr>
          <w:rFonts w:hint="eastAsia" w:ascii="黑体" w:hAnsi="黑体" w:eastAsia="黑体" w:cs="黑体"/>
          <w:b w:val="0"/>
          <w:bCs w:val="0"/>
          <w:spacing w:val="-12"/>
          <w:sz w:val="21"/>
          <w:szCs w:val="21"/>
        </w:rPr>
        <w:t>ation technology projects</w:t>
      </w:r>
    </w:p>
    <w:p w14:paraId="3C26EAB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造价咨询机构接受委托方的委托，运用信息化造价的专业技能，为软件项目、信息系统集成项目、数字化应用项目以及相关的运维和运营项目的决策、设计、采购、实施、竣工等各个阶段提供信息化造价的有偿服务。</w:t>
      </w:r>
    </w:p>
    <w:p w14:paraId="1BF4942C">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19" w:name="bookmark6"/>
      <w:bookmarkEnd w:id="19"/>
      <w:r>
        <w:rPr>
          <w:rFonts w:hint="eastAsia" w:ascii="黑体" w:hAnsi="黑体" w:eastAsia="黑体" w:cs="黑体"/>
          <w:b w:val="0"/>
          <w:bCs w:val="0"/>
          <w:spacing w:val="-12"/>
          <w:sz w:val="21"/>
          <w:szCs w:val="21"/>
        </w:rPr>
        <w:t>4</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总体原则</w:t>
      </w:r>
    </w:p>
    <w:p w14:paraId="6D42501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以服务对象为关注焦点，以过程方法与PDCA(计划、实施、检查、处置)循环和SDCA(标准化、执行、检查、处置)循环相结合为路径，基于需求分析制定标准化方针与目标，构建符合自身特点的协调配套标准体系，确保标准体系的持续有效运行与改进。具体如下：</w:t>
      </w:r>
    </w:p>
    <w:p w14:paraId="1455BF0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a)需求引领，顶层设计：围绕信息化项目造价咨询服务的实际需求和发展趋势，加强顶层设计，合理规划体系结构，以统一的标准规范引领行业标准化工作，提升服务质量和效率；</w:t>
      </w:r>
    </w:p>
    <w:p w14:paraId="0D5A2D0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b)全面系统，重点突出：从行业特点和实际出发，科学梳理相关标准，构建内容全面、结构完整、层次清晰、重点突出的标准体系，覆盖咨询服务的各个环节；</w:t>
      </w:r>
    </w:p>
    <w:p w14:paraId="1E5472B8">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z w:val="21"/>
          <w:szCs w:val="21"/>
        </w:rPr>
      </w:pPr>
      <w:r>
        <w:rPr>
          <w:rFonts w:hint="eastAsia" w:ascii="宋体" w:hAnsi="宋体" w:eastAsia="宋体" w:cs="宋体"/>
          <w:b w:val="0"/>
          <w:bCs w:val="0"/>
          <w:spacing w:val="-9"/>
          <w:sz w:val="21"/>
          <w:szCs w:val="21"/>
        </w:rPr>
        <w:t>T/XXXX-2025</w:t>
      </w:r>
    </w:p>
    <w:p w14:paraId="3F79BCD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c)动态优化，开放兼容：结合行业发展变化和质量提升要求，适时进行动态调整，保持体系的全面开放、结构的持续优化、标准的相互协调和科学规范。</w:t>
      </w:r>
    </w:p>
    <w:p w14:paraId="54278DB4">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20" w:name="bookmark7"/>
      <w:bookmarkEnd w:id="20"/>
      <w:r>
        <w:rPr>
          <w:rFonts w:hint="eastAsia" w:ascii="黑体" w:hAnsi="黑体" w:eastAsia="黑体" w:cs="黑体"/>
          <w:b w:val="0"/>
          <w:bCs w:val="0"/>
          <w:spacing w:val="-12"/>
          <w:sz w:val="21"/>
          <w:szCs w:val="21"/>
        </w:rPr>
        <w:t>5</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标准体系构建方法</w:t>
      </w:r>
    </w:p>
    <w:p w14:paraId="550DD6F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结合信息化项目造价咨询服务的现状及发展趋势，从标准领域、标准层级、标准类别三个维度，确定标准体系构成因素。具体如下：</w:t>
      </w:r>
    </w:p>
    <w:p w14:paraId="61A8701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a)标准领域：包括服务通用基础、业务流程、特定对象及行业造价管理、数智评审、管理监督和服务评价等；</w:t>
      </w:r>
    </w:p>
    <w:p w14:paraId="6E41818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b)标准层级：涵盖国家标准、行业标准、地方标准、团体标准和地方政策文件；</w:t>
      </w:r>
    </w:p>
    <w:p w14:paraId="4893C3E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c)标准类别：分为技术标准、管理标准和服务标准。通过多维度分析，确保标准体系的科学性、系统性和适用性。</w:t>
      </w:r>
      <w:bookmarkStart w:id="21" w:name="bookmark8"/>
      <w:bookmarkEnd w:id="21"/>
      <w:bookmarkStart w:id="22" w:name="bookmark47"/>
      <w:bookmarkEnd w:id="22"/>
    </w:p>
    <w:p w14:paraId="0057871E">
      <w:pPr>
        <w:keepNext w:val="0"/>
        <w:keepLines w:val="0"/>
        <w:pageBreakBefore w:val="0"/>
        <w:widowControl/>
        <w:kinsoku w:val="0"/>
        <w:wordWrap/>
        <w:overflowPunct/>
        <w:topLinePunct w:val="0"/>
        <w:autoSpaceDE w:val="0"/>
        <w:autoSpaceDN w:val="0"/>
        <w:bidi w:val="0"/>
        <w:spacing w:before="9" w:line="360" w:lineRule="auto"/>
        <w:ind w:right="120"/>
        <w:rPr>
          <w:rFonts w:ascii="宋体" w:hAnsi="宋体" w:eastAsia="宋体" w:cs="宋体"/>
          <w:spacing w:val="-5"/>
          <w:sz w:val="21"/>
          <w:szCs w:val="21"/>
        </w:rPr>
      </w:pPr>
    </w:p>
    <w:p w14:paraId="18F7145A">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6</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标准体系总体框架</w:t>
      </w:r>
    </w:p>
    <w:p w14:paraId="7195EA2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标准体系总体框架包括通用基础标准体系、业务服务标准体系、特定对象及行业标准体系、数智评审标准体系、管理监督标准体系和服务评价标准体系六个部分。各子体系相互关联、相互作用，共同构成了完整且科学合理的信息化项目造价咨询服务标准体系，详见附录A。</w:t>
      </w:r>
    </w:p>
    <w:p w14:paraId="7CD296D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a)通用基础标准体系：涵盖标准化工作标准、术语与缩略语标准、符号与标志标准、数值数据及量和单位标准、测量标准等。为信息化项目造价咨询服务提供基础性的规范和指导，确保咨询服务的通用性和一致性。</w:t>
      </w:r>
    </w:p>
    <w:p w14:paraId="36D3A0C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b)业务服务标准体系：规范信息化项目造价咨询服务的各项业务流程和方法，包括造价编制、审核、控制等服务的流程、方法和质量要求，以及技术方案评审、技术参数评审等业务活动的标准。</w:t>
      </w:r>
    </w:p>
    <w:p w14:paraId="7563923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c)特定对象及行业标准体系：针对不同类型的信息化项目和特定行业需求，制定相应的费用测算规范和造价管理标准，如软件开发、信息系统运行维护、数据资源建设等项目，以及信创等特定行业的费用测算标准。</w:t>
      </w:r>
    </w:p>
    <w:p w14:paraId="2CFD7B2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d)数智评审标准体系：涉及信息化项目评审的数智工具建设规范和造价数据标准，包括数智工具的功能、性能、接口与安全要求，以及造价数据的质量控制、交换共享等标准，以支持造价评审的数字化和智能化。</w:t>
      </w:r>
    </w:p>
    <w:p w14:paraId="56E4EA2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e)管理监督标准体系：包括对造价咨询机构的管理规范、服务质量监督规范、机构服务能力评价规范、人员能力等级评价和咨询档案管理规范等，旨在加强对造价咨询服务提供方的管理和监督，保障服务质量和市场秩序。</w:t>
      </w:r>
    </w:p>
    <w:p w14:paraId="4D5FF2F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f)服务评价标准体系：涵盖客户满意度评价标准和行业竞争力评价标准，用于评估造价咨询服务的效果和价值，促进服务提供方提升服务质量和专业水平。</w:t>
      </w:r>
    </w:p>
    <w:p w14:paraId="3E838602">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bookmarkStart w:id="23" w:name="bookmark9"/>
      <w:bookmarkEnd w:id="23"/>
      <w:r>
        <w:rPr>
          <w:rFonts w:hint="eastAsia" w:ascii="宋体" w:hAnsi="宋体" w:eastAsia="宋体" w:cs="宋体"/>
          <w:b w:val="0"/>
          <w:bCs w:val="0"/>
          <w:spacing w:val="-9"/>
          <w:sz w:val="21"/>
          <w:szCs w:val="21"/>
        </w:rPr>
        <w:t>T/XXXX-2025</w:t>
      </w:r>
    </w:p>
    <w:p w14:paraId="3B158CF0">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p>
    <w:p w14:paraId="0CBC3FA8">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7</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通用基础标准子体系</w:t>
      </w:r>
    </w:p>
    <w:p w14:paraId="11D7C048">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24" w:name="bookmark10"/>
      <w:bookmarkEnd w:id="24"/>
      <w:r>
        <w:rPr>
          <w:rFonts w:hint="eastAsia" w:ascii="黑体" w:hAnsi="黑体" w:eastAsia="黑体" w:cs="黑体"/>
          <w:b w:val="0"/>
          <w:bCs w:val="0"/>
          <w:spacing w:val="-12"/>
          <w:sz w:val="21"/>
          <w:szCs w:val="21"/>
        </w:rPr>
        <w:t>7.1子体系结构图</w:t>
      </w:r>
    </w:p>
    <w:p w14:paraId="576012D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通用基础标准子体系为信息化项目造价咨询服务提供了基础性、通用性的规范和指导，是整个标准体系的重要支撑部分。该部分包括服务通用基础标准和行业通用测算规范，确保咨询服务的通用性、一致性和可靠性，为后续各业务领域的标准化工作奠定坚实基础。通用基础标准子体系结构图见图1。</w:t>
      </w:r>
    </w:p>
    <w:p w14:paraId="2B0331A7">
      <w:pPr>
        <w:pStyle w:val="2"/>
        <w:keepNext w:val="0"/>
        <w:keepLines w:val="0"/>
        <w:pageBreakBefore w:val="0"/>
        <w:widowControl/>
        <w:kinsoku w:val="0"/>
        <w:wordWrap/>
        <w:overflowPunct/>
        <w:topLinePunct w:val="0"/>
        <w:autoSpaceDE w:val="0"/>
        <w:autoSpaceDN w:val="0"/>
        <w:bidi w:val="0"/>
        <w:spacing w:line="360" w:lineRule="auto"/>
      </w:pPr>
    </w:p>
    <w:p w14:paraId="00FE68E3">
      <w:pPr>
        <w:pStyle w:val="2"/>
        <w:keepNext w:val="0"/>
        <w:keepLines w:val="0"/>
        <w:pageBreakBefore w:val="0"/>
        <w:widowControl/>
        <w:kinsoku w:val="0"/>
        <w:wordWrap/>
        <w:overflowPunct/>
        <w:topLinePunct w:val="0"/>
        <w:autoSpaceDE w:val="0"/>
        <w:autoSpaceDN w:val="0"/>
        <w:bidi w:val="0"/>
        <w:spacing w:line="360" w:lineRule="auto"/>
        <w:jc w:val="center"/>
        <w:rPr>
          <w:rFonts w:hint="eastAsia" w:eastAsia="宋体"/>
          <w:lang w:eastAsia="zh-CN"/>
        </w:rPr>
      </w:pPr>
      <w:r>
        <w:rPr>
          <w:rFonts w:hint="eastAsia" w:eastAsia="宋体"/>
          <w:lang w:eastAsia="zh-CN"/>
        </w:rPr>
        <w:drawing>
          <wp:inline distT="0" distB="0" distL="114300" distR="114300">
            <wp:extent cx="2743835" cy="4157980"/>
            <wp:effectExtent l="0" t="0" r="24765" b="7620"/>
            <wp:docPr id="3" name="图片 50"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0" descr="图1"/>
                    <pic:cNvPicPr>
                      <a:picLocks noChangeAspect="1"/>
                    </pic:cNvPicPr>
                  </pic:nvPicPr>
                  <pic:blipFill>
                    <a:blip r:embed="rId28"/>
                    <a:stretch>
                      <a:fillRect/>
                    </a:stretch>
                  </pic:blipFill>
                  <pic:spPr>
                    <a:xfrm>
                      <a:off x="0" y="0"/>
                      <a:ext cx="2743835" cy="4157980"/>
                    </a:xfrm>
                    <a:prstGeom prst="rect">
                      <a:avLst/>
                    </a:prstGeom>
                    <a:noFill/>
                    <a:ln>
                      <a:noFill/>
                    </a:ln>
                  </pic:spPr>
                </pic:pic>
              </a:graphicData>
            </a:graphic>
          </wp:inline>
        </w:drawing>
      </w:r>
    </w:p>
    <w:p w14:paraId="59AA2CB0">
      <w:pPr>
        <w:keepNext w:val="0"/>
        <w:keepLines w:val="0"/>
        <w:pageBreakBefore w:val="0"/>
        <w:widowControl w:val="0"/>
        <w:kinsoku/>
        <w:wordWrap/>
        <w:overflowPunct/>
        <w:topLinePunct w:val="0"/>
        <w:autoSpaceDE w:val="0"/>
        <w:autoSpaceDN w:val="0"/>
        <w:bidi w:val="0"/>
        <w:adjustRightInd w:val="0"/>
        <w:snapToGrid w:val="0"/>
        <w:spacing w:before="151" w:line="360" w:lineRule="auto"/>
        <w:ind w:right="68" w:firstLine="419"/>
        <w:jc w:val="center"/>
        <w:textAlignment w:val="baseline"/>
        <w:rPr>
          <w:rFonts w:hint="eastAsia" w:ascii="宋体" w:hAnsi="宋体" w:eastAsia="宋体" w:cs="宋体"/>
          <w:spacing w:val="8"/>
          <w:sz w:val="20"/>
          <w:szCs w:val="20"/>
        </w:rPr>
      </w:pPr>
      <w:r>
        <w:rPr>
          <w:rFonts w:hint="eastAsia" w:ascii="宋体" w:hAnsi="宋体" w:eastAsia="宋体" w:cs="宋体"/>
          <w:b/>
          <w:bCs/>
          <w:spacing w:val="8"/>
          <w:sz w:val="20"/>
          <w:szCs w:val="20"/>
        </w:rPr>
        <w:t>图1通用基础标准子体系结构图</w:t>
      </w:r>
    </w:p>
    <w:p w14:paraId="56F28903">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7.</w:t>
      </w:r>
      <w:r>
        <w:rPr>
          <w:rFonts w:hint="eastAsia" w:ascii="黑体" w:hAnsi="黑体" w:eastAsia="黑体" w:cs="黑体"/>
          <w:b w:val="0"/>
          <w:bCs w:val="0"/>
          <w:spacing w:val="-12"/>
          <w:sz w:val="21"/>
          <w:szCs w:val="21"/>
          <w:lang w:val="en-US" w:eastAsia="en-US"/>
        </w:rPr>
        <w:t>2服务通用基础标准</w:t>
      </w:r>
    </w:p>
    <w:p w14:paraId="7928901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服务通用基础标准涵盖标准化工作规范、术语与缩略语、符号与标志、数值数据及量和单位、测量方法等方面，为信息化项目造价咨询服务提供统一的语言和工具，确保咨询服务的规范性和一致性。</w:t>
      </w:r>
    </w:p>
    <w:p w14:paraId="7103379D">
      <w:pPr>
        <w:keepNext w:val="0"/>
        <w:keepLines w:val="0"/>
        <w:pageBreakBefore w:val="0"/>
        <w:widowControl/>
        <w:kinsoku w:val="0"/>
        <w:wordWrap/>
        <w:overflowPunct/>
        <w:topLinePunct w:val="0"/>
        <w:autoSpaceDE w:val="0"/>
        <w:autoSpaceDN w:val="0"/>
        <w:bidi w:val="0"/>
        <w:spacing w:before="68" w:line="360" w:lineRule="auto"/>
        <w:outlineLvl w:val="0"/>
        <w:rPr>
          <w:rFonts w:ascii="宋体" w:hAnsi="宋体" w:eastAsia="宋体" w:cs="宋体"/>
          <w:b w:val="0"/>
          <w:bCs w:val="0"/>
          <w:spacing w:val="7"/>
          <w:sz w:val="21"/>
          <w:szCs w:val="21"/>
        </w:rPr>
      </w:pPr>
      <w:r>
        <w:rPr>
          <w:rFonts w:hint="eastAsia" w:ascii="黑体" w:hAnsi="黑体" w:eastAsia="黑体" w:cs="黑体"/>
          <w:b w:val="0"/>
          <w:bCs w:val="0"/>
          <w:spacing w:val="-12"/>
          <w:sz w:val="21"/>
          <w:szCs w:val="21"/>
        </w:rPr>
        <w:t>7.3行业通用测算规范</w:t>
      </w:r>
    </w:p>
    <w:p w14:paraId="71FF2EE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行业通用测算规范包括费用测算方法、预算编制标准、费用构成要素、计价方式与依据、费</w:t>
      </w:r>
    </w:p>
    <w:p w14:paraId="0824DD56">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z w:val="21"/>
          <w:szCs w:val="21"/>
        </w:rPr>
      </w:pPr>
      <w:r>
        <w:rPr>
          <w:rFonts w:hint="eastAsia" w:ascii="宋体" w:hAnsi="宋体" w:eastAsia="宋体" w:cs="宋体"/>
          <w:b w:val="0"/>
          <w:bCs w:val="0"/>
          <w:spacing w:val="-9"/>
          <w:sz w:val="21"/>
          <w:szCs w:val="21"/>
        </w:rPr>
        <w:t>T/XXXX-2025</w:t>
      </w:r>
    </w:p>
    <w:p w14:paraId="019D8BD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1"/>
          <w:szCs w:val="21"/>
        </w:rPr>
      </w:pPr>
      <w:r>
        <w:rPr>
          <w:rFonts w:hint="eastAsia" w:ascii="宋体" w:hAnsi="宋体" w:eastAsia="宋体" w:cs="宋体"/>
          <w:sz w:val="21"/>
          <w:szCs w:val="21"/>
        </w:rPr>
        <w:t>用调整原则等内容，为信息化项目造价咨询服务提供科学的测算依据和方法，确保咨询服务的准确性和合理性。</w:t>
      </w:r>
    </w:p>
    <w:p w14:paraId="2380B29F">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25" w:name="bookmark13"/>
      <w:bookmarkEnd w:id="25"/>
      <w:bookmarkStart w:id="26" w:name="bookmark48"/>
      <w:bookmarkEnd w:id="26"/>
      <w:r>
        <w:rPr>
          <w:rFonts w:hint="eastAsia" w:ascii="黑体" w:hAnsi="黑体" w:eastAsia="黑体" w:cs="黑体"/>
          <w:b w:val="0"/>
          <w:bCs w:val="0"/>
          <w:spacing w:val="-12"/>
          <w:sz w:val="21"/>
          <w:szCs w:val="21"/>
        </w:rPr>
        <w:t>8</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业务服务标准子体系</w:t>
      </w:r>
    </w:p>
    <w:p w14:paraId="1996D5B9">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27" w:name="bookmark14"/>
      <w:bookmarkEnd w:id="27"/>
      <w:r>
        <w:rPr>
          <w:rFonts w:hint="eastAsia" w:ascii="黑体" w:hAnsi="黑体" w:eastAsia="黑体" w:cs="黑体"/>
          <w:b w:val="0"/>
          <w:bCs w:val="0"/>
          <w:spacing w:val="-12"/>
          <w:sz w:val="21"/>
          <w:szCs w:val="21"/>
        </w:rPr>
        <w:t>8.1子体系结构图</w:t>
      </w:r>
    </w:p>
    <w:p w14:paraId="04B2F8B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lang w:eastAsia="zh-CN"/>
        </w:rPr>
      </w:pPr>
      <w:r>
        <w:rPr>
          <w:rFonts w:hint="eastAsia" w:ascii="宋体" w:hAnsi="宋体" w:eastAsia="宋体" w:cs="宋体"/>
          <w:sz w:val="21"/>
          <w:szCs w:val="21"/>
        </w:rPr>
        <w:t>业务服务标准子体系规范了信息化项目造价咨询服务的各项业务流程和方法，涵盖了技术方案评审、造价咨询流程与质量要求、以及技术参数评审等方面，确保咨询服务的专业性和准确性。业务服务标准体系子体系结构图见图2</w:t>
      </w:r>
      <w:r>
        <w:rPr>
          <w:rFonts w:hint="eastAsia" w:ascii="宋体" w:hAnsi="宋体" w:eastAsia="宋体" w:cs="宋体"/>
          <w:sz w:val="21"/>
          <w:szCs w:val="21"/>
          <w:lang w:eastAsia="zh-CN"/>
        </w:rPr>
        <w:t>。</w:t>
      </w:r>
    </w:p>
    <w:p w14:paraId="1D82C4AC">
      <w:pPr>
        <w:keepNext w:val="0"/>
        <w:keepLines w:val="0"/>
        <w:pageBreakBefore w:val="0"/>
        <w:widowControl/>
        <w:kinsoku w:val="0"/>
        <w:wordWrap/>
        <w:overflowPunct/>
        <w:topLinePunct w:val="0"/>
        <w:autoSpaceDE w:val="0"/>
        <w:autoSpaceDN w:val="0"/>
        <w:bidi w:val="0"/>
        <w:spacing w:before="161" w:line="360" w:lineRule="auto"/>
        <w:ind w:firstLine="439"/>
        <w:jc w:val="center"/>
        <w:rPr>
          <w:rFonts w:hint="eastAsia" w:ascii="宋体" w:hAnsi="宋体" w:eastAsia="宋体" w:cs="宋体"/>
          <w:spacing w:val="15"/>
          <w:sz w:val="20"/>
          <w:szCs w:val="20"/>
          <w:lang w:eastAsia="zh-CN"/>
        </w:rPr>
      </w:pPr>
      <w:r>
        <w:rPr>
          <w:rFonts w:hint="eastAsia" w:ascii="宋体" w:hAnsi="宋体" w:eastAsia="宋体" w:cs="宋体"/>
          <w:spacing w:val="15"/>
          <w:sz w:val="20"/>
          <w:szCs w:val="20"/>
          <w:lang w:eastAsia="zh-CN"/>
        </w:rPr>
        <w:drawing>
          <wp:inline distT="0" distB="0" distL="114300" distR="114300">
            <wp:extent cx="3676015" cy="4340860"/>
            <wp:effectExtent l="0" t="0" r="6985" b="2540"/>
            <wp:docPr id="4" name="图片 51"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1" descr="图2"/>
                    <pic:cNvPicPr>
                      <a:picLocks noChangeAspect="1"/>
                    </pic:cNvPicPr>
                  </pic:nvPicPr>
                  <pic:blipFill>
                    <a:blip r:embed="rId29"/>
                    <a:stretch>
                      <a:fillRect/>
                    </a:stretch>
                  </pic:blipFill>
                  <pic:spPr>
                    <a:xfrm>
                      <a:off x="0" y="0"/>
                      <a:ext cx="3676015" cy="4340860"/>
                    </a:xfrm>
                    <a:prstGeom prst="rect">
                      <a:avLst/>
                    </a:prstGeom>
                    <a:noFill/>
                    <a:ln>
                      <a:noFill/>
                    </a:ln>
                  </pic:spPr>
                </pic:pic>
              </a:graphicData>
            </a:graphic>
          </wp:inline>
        </w:drawing>
      </w:r>
    </w:p>
    <w:p w14:paraId="61A1A897">
      <w:pPr>
        <w:pStyle w:val="2"/>
        <w:keepNext w:val="0"/>
        <w:keepLines w:val="0"/>
        <w:pageBreakBefore w:val="0"/>
        <w:widowControl/>
        <w:kinsoku w:val="0"/>
        <w:wordWrap/>
        <w:overflowPunct/>
        <w:topLinePunct w:val="0"/>
        <w:autoSpaceDE w:val="0"/>
        <w:autoSpaceDN w:val="0"/>
        <w:bidi w:val="0"/>
        <w:spacing w:line="360" w:lineRule="auto"/>
      </w:pPr>
    </w:p>
    <w:p w14:paraId="52FDB350">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图2业务服务标准子体系结构图</w:t>
      </w:r>
    </w:p>
    <w:p w14:paraId="09382EA4">
      <w:pPr>
        <w:pStyle w:val="2"/>
        <w:keepNext w:val="0"/>
        <w:keepLines w:val="0"/>
        <w:pageBreakBefore w:val="0"/>
        <w:widowControl/>
        <w:kinsoku w:val="0"/>
        <w:wordWrap/>
        <w:overflowPunct/>
        <w:topLinePunct w:val="0"/>
        <w:autoSpaceDE w:val="0"/>
        <w:autoSpaceDN w:val="0"/>
        <w:bidi w:val="0"/>
        <w:spacing w:line="360" w:lineRule="auto"/>
      </w:pPr>
    </w:p>
    <w:p w14:paraId="03FB03C2">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28" w:name="bookmark15"/>
      <w:bookmarkEnd w:id="28"/>
      <w:r>
        <w:rPr>
          <w:rFonts w:hint="eastAsia" w:ascii="黑体" w:hAnsi="黑体" w:eastAsia="黑体" w:cs="黑体"/>
          <w:b w:val="0"/>
          <w:bCs w:val="0"/>
          <w:spacing w:val="-12"/>
          <w:sz w:val="21"/>
          <w:szCs w:val="21"/>
        </w:rPr>
        <w:t>8.2信息化项目技术方案评审规范</w:t>
      </w:r>
    </w:p>
    <w:p w14:paraId="4C48EEB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信息化项目技术方案评审规范涵盖了技术方案评审的流程、方法及标准，提供了技术方案编制模板和评审报告编制规范，确保技术方案的科学性和可行性。</w:t>
      </w:r>
    </w:p>
    <w:p w14:paraId="780A9D25">
      <w:pPr>
        <w:keepNext w:val="0"/>
        <w:keepLines w:val="0"/>
        <w:pageBreakBefore w:val="0"/>
        <w:widowControl/>
        <w:kinsoku w:val="0"/>
        <w:wordWrap/>
        <w:overflowPunct/>
        <w:topLinePunct w:val="0"/>
        <w:autoSpaceDE w:val="0"/>
        <w:autoSpaceDN w:val="0"/>
        <w:bidi w:val="0"/>
        <w:spacing w:before="68" w:line="360" w:lineRule="auto"/>
        <w:outlineLvl w:val="0"/>
        <w:rPr>
          <w:rFonts w:ascii="宋体" w:hAnsi="宋体" w:eastAsia="宋体" w:cs="宋体"/>
          <w:b w:val="0"/>
          <w:bCs w:val="0"/>
          <w:spacing w:val="5"/>
          <w:sz w:val="21"/>
          <w:szCs w:val="21"/>
        </w:rPr>
      </w:pPr>
      <w:bookmarkStart w:id="29" w:name="bookmark16"/>
      <w:bookmarkEnd w:id="29"/>
      <w:r>
        <w:rPr>
          <w:rFonts w:hint="eastAsia" w:ascii="黑体" w:hAnsi="黑体" w:eastAsia="黑体" w:cs="黑体"/>
          <w:b w:val="0"/>
          <w:bCs w:val="0"/>
          <w:spacing w:val="-12"/>
          <w:sz w:val="21"/>
          <w:szCs w:val="21"/>
        </w:rPr>
        <w:t>8.3信息化项目造价咨询服务规范</w:t>
      </w:r>
    </w:p>
    <w:p w14:paraId="344E2C27">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z w:val="21"/>
          <w:szCs w:val="21"/>
          <w:lang w:eastAsia="zh-CN"/>
        </w:rPr>
      </w:pPr>
      <w:r>
        <w:rPr>
          <w:rFonts w:hint="eastAsia" w:ascii="宋体" w:hAnsi="宋体" w:eastAsia="宋体" w:cs="宋体"/>
          <w:b w:val="0"/>
          <w:bCs w:val="0"/>
          <w:spacing w:val="-9"/>
          <w:sz w:val="21"/>
          <w:szCs w:val="21"/>
          <w:lang w:eastAsia="zh-CN"/>
        </w:rPr>
        <w:t>T/XXXX-2025</w:t>
      </w:r>
    </w:p>
    <w:p w14:paraId="297F267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信息化项目造价咨询服务规范明确了造价咨询服务的流程、方法和质量要求，包括造价编制、审核、结算审计、全过程造价控制和变更经济性分析等内容，确保咨询服务的规范性和一致性。</w:t>
      </w:r>
    </w:p>
    <w:p w14:paraId="0EB91E20">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0" w:name="bookmark17"/>
      <w:bookmarkEnd w:id="30"/>
      <w:r>
        <w:rPr>
          <w:rFonts w:hint="eastAsia" w:ascii="黑体" w:hAnsi="黑体" w:eastAsia="黑体" w:cs="黑体"/>
          <w:b w:val="0"/>
          <w:bCs w:val="0"/>
          <w:spacing w:val="-12"/>
          <w:sz w:val="21"/>
          <w:szCs w:val="21"/>
        </w:rPr>
        <w:t>8.4信息化项目技术参数评审规范</w:t>
      </w:r>
    </w:p>
    <w:p w14:paraId="44A49DB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信息化项目技术参数评审规范规定了技术参数的审定流程和方法，确保技术参数的准确性、合理性和合规性，为项目造价提供可靠的技术依据。</w:t>
      </w:r>
    </w:p>
    <w:p w14:paraId="6F4D835A">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1" w:name="bookmark18"/>
      <w:bookmarkEnd w:id="31"/>
      <w:r>
        <w:rPr>
          <w:rFonts w:hint="eastAsia" w:ascii="黑体" w:hAnsi="黑体" w:eastAsia="黑体" w:cs="黑体"/>
          <w:b w:val="0"/>
          <w:bCs w:val="0"/>
          <w:spacing w:val="-12"/>
          <w:sz w:val="21"/>
          <w:szCs w:val="21"/>
        </w:rPr>
        <w:t>9</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特定对象及行业标准子体系</w:t>
      </w:r>
    </w:p>
    <w:p w14:paraId="0527AAC9">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2" w:name="bookmark19"/>
      <w:bookmarkEnd w:id="32"/>
      <w:r>
        <w:rPr>
          <w:rFonts w:hint="eastAsia" w:ascii="黑体" w:hAnsi="黑体" w:eastAsia="黑体" w:cs="黑体"/>
          <w:b w:val="0"/>
          <w:bCs w:val="0"/>
          <w:spacing w:val="-12"/>
          <w:sz w:val="21"/>
          <w:szCs w:val="21"/>
        </w:rPr>
        <w:t>9.1子体系结构图</w:t>
      </w:r>
    </w:p>
    <w:p w14:paraId="13B171A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特定对象及行业标准子体系针对不同类型的信息化项目和特定行业需求，制定了相应的费用测算规范和造价管理标准，确保特定领域内造价咨询服务的专业性和适用性。特定对象及行业标准子体系结构图见图3。</w:t>
      </w:r>
    </w:p>
    <w:p w14:paraId="6803ACEC">
      <w:pPr>
        <w:keepNext w:val="0"/>
        <w:keepLines w:val="0"/>
        <w:pageBreakBefore w:val="0"/>
        <w:widowControl/>
        <w:kinsoku w:val="0"/>
        <w:wordWrap/>
        <w:overflowPunct/>
        <w:topLinePunct w:val="0"/>
        <w:autoSpaceDE w:val="0"/>
        <w:autoSpaceDN w:val="0"/>
        <w:bidi w:val="0"/>
        <w:spacing w:before="161" w:line="360" w:lineRule="auto"/>
        <w:ind w:right="186" w:firstLine="429"/>
        <w:jc w:val="center"/>
        <w:rPr>
          <w:rFonts w:hint="eastAsia" w:ascii="宋体" w:hAnsi="宋体" w:eastAsia="宋体" w:cs="宋体"/>
          <w:spacing w:val="15"/>
          <w:sz w:val="21"/>
          <w:szCs w:val="21"/>
          <w:lang w:eastAsia="zh-CN"/>
        </w:rPr>
      </w:pPr>
      <w:r>
        <w:rPr>
          <w:rFonts w:hint="eastAsia" w:ascii="宋体" w:hAnsi="宋体" w:eastAsia="宋体" w:cs="宋体"/>
          <w:spacing w:val="15"/>
          <w:sz w:val="21"/>
          <w:szCs w:val="21"/>
          <w:lang w:eastAsia="zh-CN"/>
        </w:rPr>
        <w:drawing>
          <wp:inline distT="0" distB="0" distL="114300" distR="114300">
            <wp:extent cx="5276850" cy="4191635"/>
            <wp:effectExtent l="0" t="0" r="6350" b="24765"/>
            <wp:docPr id="5" name="图片 52"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图3"/>
                    <pic:cNvPicPr>
                      <a:picLocks noChangeAspect="1"/>
                    </pic:cNvPicPr>
                  </pic:nvPicPr>
                  <pic:blipFill>
                    <a:blip r:embed="rId30"/>
                    <a:stretch>
                      <a:fillRect/>
                    </a:stretch>
                  </pic:blipFill>
                  <pic:spPr>
                    <a:xfrm>
                      <a:off x="0" y="0"/>
                      <a:ext cx="5276850" cy="4191635"/>
                    </a:xfrm>
                    <a:prstGeom prst="rect">
                      <a:avLst/>
                    </a:prstGeom>
                    <a:noFill/>
                    <a:ln>
                      <a:noFill/>
                    </a:ln>
                  </pic:spPr>
                </pic:pic>
              </a:graphicData>
            </a:graphic>
          </wp:inline>
        </w:drawing>
      </w:r>
    </w:p>
    <w:p w14:paraId="0D003B9C">
      <w:pPr>
        <w:pStyle w:val="2"/>
        <w:keepNext w:val="0"/>
        <w:keepLines w:val="0"/>
        <w:pageBreakBefore w:val="0"/>
        <w:widowControl/>
        <w:kinsoku w:val="0"/>
        <w:wordWrap/>
        <w:overflowPunct/>
        <w:topLinePunct w:val="0"/>
        <w:autoSpaceDE w:val="0"/>
        <w:autoSpaceDN w:val="0"/>
        <w:bidi w:val="0"/>
        <w:spacing w:line="360" w:lineRule="auto"/>
      </w:pPr>
    </w:p>
    <w:p w14:paraId="1108D878">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图3特定对象及行业标准子体系结构图</w:t>
      </w:r>
    </w:p>
    <w:p w14:paraId="1818837F">
      <w:pPr>
        <w:pStyle w:val="2"/>
        <w:keepNext w:val="0"/>
        <w:keepLines w:val="0"/>
        <w:pageBreakBefore w:val="0"/>
        <w:widowControl/>
        <w:kinsoku w:val="0"/>
        <w:wordWrap/>
        <w:overflowPunct/>
        <w:topLinePunct w:val="0"/>
        <w:autoSpaceDE w:val="0"/>
        <w:autoSpaceDN w:val="0"/>
        <w:bidi w:val="0"/>
        <w:spacing w:line="360" w:lineRule="auto"/>
      </w:pPr>
    </w:p>
    <w:p w14:paraId="406A5D67">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eastAsia="zh-CN"/>
        </w:rPr>
      </w:pPr>
      <w:bookmarkStart w:id="33" w:name="bookmark20"/>
      <w:bookmarkEnd w:id="33"/>
      <w:r>
        <w:rPr>
          <w:rFonts w:hint="eastAsia" w:ascii="宋体" w:hAnsi="宋体" w:eastAsia="宋体" w:cs="宋体"/>
          <w:b w:val="0"/>
          <w:bCs w:val="0"/>
          <w:spacing w:val="-9"/>
          <w:sz w:val="21"/>
          <w:szCs w:val="21"/>
          <w:lang w:eastAsia="zh-CN"/>
        </w:rPr>
        <w:t>T/XXXX-2025</w:t>
      </w:r>
    </w:p>
    <w:p w14:paraId="351A37B7">
      <w:pPr>
        <w:keepNext w:val="0"/>
        <w:keepLines w:val="0"/>
        <w:pageBreakBefore w:val="0"/>
        <w:widowControl/>
        <w:kinsoku w:val="0"/>
        <w:wordWrap/>
        <w:overflowPunct/>
        <w:topLinePunct w:val="0"/>
        <w:autoSpaceDE w:val="0"/>
        <w:autoSpaceDN w:val="0"/>
        <w:bidi w:val="0"/>
        <w:spacing w:before="68" w:line="360" w:lineRule="auto"/>
        <w:outlineLvl w:val="0"/>
        <w:rPr>
          <w:rFonts w:ascii="宋体" w:hAnsi="宋体" w:eastAsia="宋体" w:cs="宋体"/>
          <w:b w:val="0"/>
          <w:bCs w:val="0"/>
          <w:spacing w:val="-2"/>
          <w:sz w:val="21"/>
          <w:szCs w:val="21"/>
        </w:rPr>
      </w:pPr>
      <w:r>
        <w:rPr>
          <w:rFonts w:hint="eastAsia" w:ascii="黑体" w:hAnsi="黑体" w:eastAsia="黑体" w:cs="黑体"/>
          <w:b w:val="0"/>
          <w:bCs w:val="0"/>
          <w:spacing w:val="-12"/>
          <w:sz w:val="21"/>
          <w:szCs w:val="21"/>
        </w:rPr>
        <w:t>9.2软件开发费用测算规范</w:t>
      </w:r>
    </w:p>
    <w:p w14:paraId="09C19A1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方正仿宋_GB2312" w:hAnsi="方正仿宋_GB2312" w:eastAsia="方正仿宋_GB2312" w:cs="方正仿宋_GB2312"/>
          <w:sz w:val="32"/>
          <w:szCs w:val="32"/>
        </w:rPr>
      </w:pPr>
      <w:r>
        <w:rPr>
          <w:rFonts w:hint="eastAsia" w:ascii="宋体" w:hAnsi="宋体" w:eastAsia="宋体" w:cs="宋体"/>
          <w:sz w:val="21"/>
          <w:szCs w:val="21"/>
        </w:rPr>
        <w:t>软件开发费用测算规范明确了软件开发项目的费用测算方法和标准，涵盖了从需求分析、设计、编码到测试等各阶段的成本核算，确保软件开发项目造价的合理性和准确性。</w:t>
      </w:r>
    </w:p>
    <w:p w14:paraId="1BAC53DE">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4" w:name="bookmark21"/>
      <w:bookmarkEnd w:id="34"/>
      <w:r>
        <w:rPr>
          <w:rFonts w:hint="eastAsia" w:ascii="黑体" w:hAnsi="黑体" w:eastAsia="黑体" w:cs="黑体"/>
          <w:b w:val="0"/>
          <w:bCs w:val="0"/>
          <w:spacing w:val="-12"/>
          <w:sz w:val="21"/>
          <w:szCs w:val="21"/>
        </w:rPr>
        <w:t>9.3信息系统运行维护费用测算规范</w:t>
      </w:r>
    </w:p>
    <w:p w14:paraId="6B4FD2D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信息系统运行维护费用测算规范规定了信息系统的运行维护费用的测算标准和依据，包括设备维护、软件更新、技术支持等方面，确保信息系统在生命周期内的稳定运行和成本控制。</w:t>
      </w:r>
    </w:p>
    <w:p w14:paraId="174E738E">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5" w:name="bookmark22"/>
      <w:bookmarkEnd w:id="35"/>
      <w:r>
        <w:rPr>
          <w:rFonts w:hint="eastAsia" w:ascii="黑体" w:hAnsi="黑体" w:eastAsia="黑体" w:cs="黑体"/>
          <w:b w:val="0"/>
          <w:bCs w:val="0"/>
          <w:spacing w:val="-12"/>
          <w:sz w:val="21"/>
          <w:szCs w:val="21"/>
        </w:rPr>
        <w:t>9.4数据资源建设费用测算标准</w:t>
      </w:r>
    </w:p>
    <w:p w14:paraId="4F19E72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数据资源建设费用测算标准提供了数据资源建设项目的费用测算方法和依据，涉及数据采集、存储、处理和管理等环节，为数据资源建设提供科学的成本核算。</w:t>
      </w:r>
    </w:p>
    <w:p w14:paraId="5E03D262">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6" w:name="bookmark23"/>
      <w:bookmarkEnd w:id="36"/>
      <w:r>
        <w:rPr>
          <w:rFonts w:hint="eastAsia" w:ascii="黑体" w:hAnsi="黑体" w:eastAsia="黑体" w:cs="黑体"/>
          <w:b w:val="0"/>
          <w:bCs w:val="0"/>
          <w:spacing w:val="-12"/>
          <w:sz w:val="21"/>
          <w:szCs w:val="21"/>
        </w:rPr>
        <w:t>9.5信创项目费用测算标准</w:t>
      </w:r>
    </w:p>
    <w:p w14:paraId="26B675E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方正仿宋_GB2312" w:hAnsi="方正仿宋_GB2312" w:eastAsia="方正仿宋_GB2312" w:cs="方正仿宋_GB2312"/>
          <w:sz w:val="32"/>
          <w:szCs w:val="32"/>
        </w:rPr>
      </w:pPr>
      <w:r>
        <w:rPr>
          <w:rFonts w:hint="eastAsia" w:ascii="宋体" w:hAnsi="宋体" w:eastAsia="宋体" w:cs="宋体"/>
          <w:sz w:val="21"/>
          <w:szCs w:val="21"/>
        </w:rPr>
        <w:t>信创项目费用测算标准针对信息技术应用创新项目，制定了费用测算方法和依据，确保信创项目在自主可控、安全可靠的前提下，实现成本的有效控制。</w:t>
      </w:r>
    </w:p>
    <w:p w14:paraId="6581BE27">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7" w:name="bookmark24"/>
      <w:bookmarkEnd w:id="37"/>
      <w:r>
        <w:rPr>
          <w:rFonts w:hint="eastAsia" w:ascii="黑体" w:hAnsi="黑体" w:eastAsia="黑体" w:cs="黑体"/>
          <w:b w:val="0"/>
          <w:bCs w:val="0"/>
          <w:spacing w:val="-12"/>
          <w:sz w:val="21"/>
          <w:szCs w:val="21"/>
        </w:rPr>
        <w:t>9.6其他特定行业或对象费用测算规范</w:t>
      </w:r>
    </w:p>
    <w:p w14:paraId="6E8EDF9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其他特定行业或对象费用测算规范针对其他特定行业的信息化项目，制定了相应的费用测算方法和标准，确保这些行业的信息化项目造价咨询服务的专业性和准确性。</w:t>
      </w:r>
    </w:p>
    <w:p w14:paraId="1B312484">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8" w:name="bookmark25"/>
      <w:bookmarkEnd w:id="38"/>
      <w:r>
        <w:rPr>
          <w:rFonts w:hint="eastAsia" w:ascii="黑体" w:hAnsi="黑体" w:eastAsia="黑体" w:cs="黑体"/>
          <w:b w:val="0"/>
          <w:bCs w:val="0"/>
          <w:spacing w:val="-12"/>
          <w:sz w:val="21"/>
          <w:szCs w:val="21"/>
        </w:rPr>
        <w:t>10</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数智评审标准子体系</w:t>
      </w:r>
    </w:p>
    <w:p w14:paraId="469B839A">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39" w:name="bookmark26"/>
      <w:bookmarkEnd w:id="39"/>
      <w:r>
        <w:rPr>
          <w:rFonts w:hint="eastAsia" w:ascii="黑体" w:hAnsi="黑体" w:eastAsia="黑体" w:cs="黑体"/>
          <w:b w:val="0"/>
          <w:bCs w:val="0"/>
          <w:spacing w:val="-12"/>
          <w:sz w:val="21"/>
          <w:szCs w:val="21"/>
        </w:rPr>
        <w:t>10.1子体系结构图</w:t>
      </w:r>
    </w:p>
    <w:p w14:paraId="3F0F2A4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数智评审标准子体系规范了信息化项目造价咨询服务中数智工具的建设和使用，以及造价数据的管理和质量控制，为咨询服务的数字化和智能化提供支持。数智评审标准子体系结构图见图4。</w:t>
      </w:r>
    </w:p>
    <w:p w14:paraId="0E5F1FD7">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4A47BA88">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09C7E7B2">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4A5672C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3D4CEA4D">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4966ECAD">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512A6BBC">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06CC62B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35921C70">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rPr>
      </w:pPr>
    </w:p>
    <w:p w14:paraId="6CDFE3CE">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pacing w:val="2"/>
          <w:sz w:val="21"/>
          <w:szCs w:val="21"/>
          <w:lang w:eastAsia="zh-CN"/>
        </w:rPr>
      </w:pPr>
      <w:r>
        <w:rPr>
          <w:rFonts w:hint="eastAsia" w:ascii="宋体" w:hAnsi="宋体" w:eastAsia="宋体" w:cs="宋体"/>
          <w:b w:val="0"/>
          <w:bCs w:val="0"/>
          <w:spacing w:val="-9"/>
          <w:sz w:val="21"/>
          <w:szCs w:val="21"/>
          <w:lang w:eastAsia="zh-CN"/>
        </w:rPr>
        <w:t>T/XXXX-2025</w:t>
      </w:r>
    </w:p>
    <w:p w14:paraId="1656191D">
      <w:pPr>
        <w:keepNext w:val="0"/>
        <w:keepLines w:val="0"/>
        <w:pageBreakBefore w:val="0"/>
        <w:widowControl/>
        <w:kinsoku w:val="0"/>
        <w:wordWrap/>
        <w:overflowPunct/>
        <w:topLinePunct w:val="0"/>
        <w:autoSpaceDE w:val="0"/>
        <w:autoSpaceDN w:val="0"/>
        <w:bidi w:val="0"/>
        <w:spacing w:before="148" w:line="360" w:lineRule="auto"/>
        <w:ind w:right="4" w:firstLine="419"/>
        <w:jc w:val="center"/>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drawing>
          <wp:inline distT="0" distB="0" distL="114300" distR="114300">
            <wp:extent cx="2665095" cy="3969385"/>
            <wp:effectExtent l="0" t="0" r="1905" b="18415"/>
            <wp:docPr id="6" name="图片 5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3" descr="图4"/>
                    <pic:cNvPicPr>
                      <a:picLocks noChangeAspect="1"/>
                    </pic:cNvPicPr>
                  </pic:nvPicPr>
                  <pic:blipFill>
                    <a:blip r:embed="rId31"/>
                    <a:stretch>
                      <a:fillRect/>
                    </a:stretch>
                  </pic:blipFill>
                  <pic:spPr>
                    <a:xfrm>
                      <a:off x="0" y="0"/>
                      <a:ext cx="2665095" cy="3969385"/>
                    </a:xfrm>
                    <a:prstGeom prst="rect">
                      <a:avLst/>
                    </a:prstGeom>
                    <a:noFill/>
                    <a:ln>
                      <a:noFill/>
                    </a:ln>
                  </pic:spPr>
                </pic:pic>
              </a:graphicData>
            </a:graphic>
          </wp:inline>
        </w:drawing>
      </w:r>
    </w:p>
    <w:p w14:paraId="410F85A8">
      <w:pPr>
        <w:pStyle w:val="2"/>
        <w:keepNext w:val="0"/>
        <w:keepLines w:val="0"/>
        <w:pageBreakBefore w:val="0"/>
        <w:widowControl/>
        <w:kinsoku w:val="0"/>
        <w:wordWrap/>
        <w:overflowPunct/>
        <w:topLinePunct w:val="0"/>
        <w:autoSpaceDE w:val="0"/>
        <w:autoSpaceDN w:val="0"/>
        <w:bidi w:val="0"/>
        <w:spacing w:line="360" w:lineRule="auto"/>
      </w:pPr>
    </w:p>
    <w:p w14:paraId="68FC01F3">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图4数智评审标准子体系结构图</w:t>
      </w:r>
    </w:p>
    <w:p w14:paraId="0BE4F53F">
      <w:pPr>
        <w:pStyle w:val="2"/>
        <w:keepNext w:val="0"/>
        <w:keepLines w:val="0"/>
        <w:pageBreakBefore w:val="0"/>
        <w:widowControl/>
        <w:kinsoku w:val="0"/>
        <w:wordWrap/>
        <w:overflowPunct/>
        <w:topLinePunct w:val="0"/>
        <w:autoSpaceDE w:val="0"/>
        <w:autoSpaceDN w:val="0"/>
        <w:bidi w:val="0"/>
        <w:spacing w:line="360" w:lineRule="auto"/>
        <w:rPr>
          <w:rFonts w:hint="eastAsia" w:ascii="黑体" w:hAnsi="黑体" w:eastAsia="黑体" w:cs="黑体"/>
          <w:b/>
          <w:bCs/>
          <w:snapToGrid w:val="0"/>
          <w:color w:val="000000"/>
          <w:spacing w:val="-12"/>
          <w:kern w:val="0"/>
          <w:sz w:val="28"/>
          <w:szCs w:val="28"/>
          <w:lang w:val="en-US" w:eastAsia="en-US" w:bidi="ar-SA"/>
        </w:rPr>
      </w:pPr>
    </w:p>
    <w:p w14:paraId="7ED0FB34">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0" w:name="bookmark27"/>
      <w:bookmarkEnd w:id="40"/>
      <w:r>
        <w:rPr>
          <w:rFonts w:hint="eastAsia" w:ascii="黑体" w:hAnsi="黑体" w:eastAsia="黑体" w:cs="黑体"/>
          <w:b w:val="0"/>
          <w:bCs w:val="0"/>
          <w:snapToGrid w:val="0"/>
          <w:color w:val="000000"/>
          <w:spacing w:val="-12"/>
          <w:kern w:val="0"/>
          <w:sz w:val="21"/>
          <w:szCs w:val="21"/>
          <w:lang w:val="en-US" w:eastAsia="en-US" w:bidi="ar-SA"/>
        </w:rPr>
        <w:t>10.2信息化项目评审数智工具建设规范</w:t>
      </w:r>
    </w:p>
    <w:p w14:paraId="773A0BE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信息化项目评审数智工具建设规范规定了数智工具的功能、性能、接口与安全要求，确保工具在造价评审中的高效应用。涵盖了功能规范、接口与安全规范、工具评估规范等方面，提升服务效率和准确</w:t>
      </w:r>
      <w:r>
        <w:rPr>
          <w:rFonts w:hint="eastAsia" w:ascii="宋体" w:hAnsi="宋体" w:eastAsia="宋体" w:cs="宋体"/>
          <w:sz w:val="21"/>
          <w:szCs w:val="21"/>
          <w:lang w:val="en-US" w:eastAsia="zh-CN"/>
        </w:rPr>
        <w:t>性。</w:t>
      </w:r>
    </w:p>
    <w:p w14:paraId="6BCFFF28">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1" w:name="bookmark28"/>
      <w:bookmarkEnd w:id="41"/>
      <w:r>
        <w:rPr>
          <w:rFonts w:hint="eastAsia" w:ascii="黑体" w:hAnsi="黑体" w:eastAsia="黑体" w:cs="黑体"/>
          <w:b w:val="0"/>
          <w:bCs w:val="0"/>
          <w:snapToGrid w:val="0"/>
          <w:color w:val="000000"/>
          <w:spacing w:val="-12"/>
          <w:kern w:val="0"/>
          <w:sz w:val="21"/>
          <w:szCs w:val="21"/>
          <w:lang w:val="en-US" w:eastAsia="en-US" w:bidi="ar-SA"/>
        </w:rPr>
        <w:t>10.3信息化项目造价数据标准</w:t>
      </w:r>
    </w:p>
    <w:p w14:paraId="60F55D1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信息化项目造价数据标准涵盖了造价数据的质量控制、采集、交换共享等方面的要求，确保数据的准确性、一致性和可用性，为数智化评审提供可靠的数据支持。</w:t>
      </w:r>
    </w:p>
    <w:p w14:paraId="61AF155A">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rPr>
      </w:pPr>
      <w:bookmarkStart w:id="42" w:name="bookmark29"/>
      <w:bookmarkEnd w:id="42"/>
      <w:r>
        <w:rPr>
          <w:rFonts w:hint="eastAsia" w:ascii="黑体" w:hAnsi="黑体" w:eastAsia="黑体" w:cs="黑体"/>
          <w:b w:val="0"/>
          <w:bCs w:val="0"/>
          <w:spacing w:val="-12"/>
          <w:sz w:val="21"/>
          <w:szCs w:val="21"/>
        </w:rPr>
        <w:t>11</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rPr>
        <w:t>管理监督标准子体系</w:t>
      </w:r>
    </w:p>
    <w:p w14:paraId="2370F0F2">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3" w:name="bookmark30"/>
      <w:bookmarkEnd w:id="43"/>
      <w:r>
        <w:rPr>
          <w:rFonts w:hint="eastAsia" w:ascii="黑体" w:hAnsi="黑体" w:eastAsia="黑体" w:cs="黑体"/>
          <w:b w:val="0"/>
          <w:bCs w:val="0"/>
          <w:snapToGrid w:val="0"/>
          <w:color w:val="000000"/>
          <w:spacing w:val="-12"/>
          <w:kern w:val="0"/>
          <w:sz w:val="21"/>
          <w:szCs w:val="21"/>
          <w:lang w:val="en-US" w:eastAsia="en-US" w:bidi="ar-SA"/>
        </w:rPr>
        <w:t>11.1子体系结构图</w:t>
      </w:r>
    </w:p>
    <w:p w14:paraId="2A2A9CF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管理监督标准子体系旨在加强对信息化项目造价咨询服务的规范和监督，确保咨询服务的质量和市场秩序。该体系涵盖了咨询机构管理、服务质量监督、机构服务能力评价、人员能力等级评价以及档案管理等方面的标准。管理监督标准子体系结构图见图5。</w:t>
      </w:r>
    </w:p>
    <w:p w14:paraId="2EFBC21E">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z w:val="21"/>
          <w:szCs w:val="21"/>
          <w:lang w:eastAsia="zh-CN"/>
        </w:rPr>
      </w:pPr>
      <w:r>
        <w:rPr>
          <w:rFonts w:hint="eastAsia" w:ascii="宋体" w:hAnsi="宋体" w:eastAsia="宋体" w:cs="宋体"/>
          <w:b w:val="0"/>
          <w:bCs w:val="0"/>
          <w:spacing w:val="-9"/>
          <w:sz w:val="21"/>
          <w:szCs w:val="21"/>
          <w:lang w:eastAsia="zh-CN"/>
        </w:rPr>
        <w:t>T/XXXX-2025</w:t>
      </w:r>
    </w:p>
    <w:p w14:paraId="14492C8D">
      <w:pPr>
        <w:keepNext w:val="0"/>
        <w:keepLines w:val="0"/>
        <w:pageBreakBefore w:val="0"/>
        <w:widowControl w:val="0"/>
        <w:kinsoku/>
        <w:wordWrap/>
        <w:overflowPunct/>
        <w:topLinePunct w:val="0"/>
        <w:autoSpaceDE w:val="0"/>
        <w:autoSpaceDN w:val="0"/>
        <w:bidi w:val="0"/>
        <w:adjustRightInd w:val="0"/>
        <w:snapToGrid w:val="0"/>
        <w:spacing w:before="119" w:line="360" w:lineRule="auto"/>
        <w:ind w:right="5" w:firstLine="419"/>
        <w:jc w:val="center"/>
        <w:textAlignment w:val="baseline"/>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drawing>
          <wp:inline distT="0" distB="0" distL="114300" distR="114300">
            <wp:extent cx="5450205" cy="4794250"/>
            <wp:effectExtent l="0" t="0" r="10795" b="6350"/>
            <wp:docPr id="7" name="图片 54"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descr="图5"/>
                    <pic:cNvPicPr>
                      <a:picLocks noChangeAspect="1"/>
                    </pic:cNvPicPr>
                  </pic:nvPicPr>
                  <pic:blipFill>
                    <a:blip r:embed="rId32"/>
                    <a:stretch>
                      <a:fillRect/>
                    </a:stretch>
                  </pic:blipFill>
                  <pic:spPr>
                    <a:xfrm>
                      <a:off x="0" y="0"/>
                      <a:ext cx="5450205" cy="4794250"/>
                    </a:xfrm>
                    <a:prstGeom prst="rect">
                      <a:avLst/>
                    </a:prstGeom>
                    <a:noFill/>
                    <a:ln>
                      <a:noFill/>
                    </a:ln>
                  </pic:spPr>
                </pic:pic>
              </a:graphicData>
            </a:graphic>
          </wp:inline>
        </w:drawing>
      </w:r>
    </w:p>
    <w:p w14:paraId="22336DDB">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图5管理监督标准子体系结构图</w:t>
      </w:r>
    </w:p>
    <w:p w14:paraId="212DDE0E">
      <w:pPr>
        <w:pStyle w:val="2"/>
        <w:keepNext w:val="0"/>
        <w:keepLines w:val="0"/>
        <w:pageBreakBefore w:val="0"/>
        <w:widowControl/>
        <w:kinsoku w:val="0"/>
        <w:wordWrap/>
        <w:overflowPunct/>
        <w:topLinePunct w:val="0"/>
        <w:autoSpaceDE w:val="0"/>
        <w:autoSpaceDN w:val="0"/>
        <w:bidi w:val="0"/>
        <w:spacing w:line="360" w:lineRule="auto"/>
        <w:rPr>
          <w:b w:val="0"/>
          <w:bCs w:val="0"/>
          <w:sz w:val="21"/>
          <w:szCs w:val="21"/>
        </w:rPr>
      </w:pPr>
    </w:p>
    <w:p w14:paraId="3F30885D">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4" w:name="bookmark31"/>
      <w:bookmarkEnd w:id="44"/>
      <w:r>
        <w:rPr>
          <w:rFonts w:hint="eastAsia" w:ascii="黑体" w:hAnsi="黑体" w:eastAsia="黑体" w:cs="黑体"/>
          <w:b w:val="0"/>
          <w:bCs w:val="0"/>
          <w:snapToGrid w:val="0"/>
          <w:color w:val="000000"/>
          <w:spacing w:val="-12"/>
          <w:kern w:val="0"/>
          <w:sz w:val="21"/>
          <w:szCs w:val="21"/>
          <w:lang w:val="en-US" w:eastAsia="en-US" w:bidi="ar-SA"/>
        </w:rPr>
        <w:t>11.2信息化项目造价咨询机构管理规范</w:t>
      </w:r>
    </w:p>
    <w:p w14:paraId="302BD4F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信息化项目造价咨询机构管理规范明确了咨询机构的设立、运营和管理要求，包括机构的资质条件、组织架构、人员配备、业务范围和管理制度等，确保咨询机构具备专业能力和良好的信誉。</w:t>
      </w:r>
    </w:p>
    <w:p w14:paraId="4182627B">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5" w:name="bookmark32"/>
      <w:bookmarkEnd w:id="45"/>
      <w:r>
        <w:rPr>
          <w:rFonts w:hint="eastAsia" w:ascii="黑体" w:hAnsi="黑体" w:eastAsia="黑体" w:cs="黑体"/>
          <w:b w:val="0"/>
          <w:bCs w:val="0"/>
          <w:snapToGrid w:val="0"/>
          <w:color w:val="000000"/>
          <w:spacing w:val="-12"/>
          <w:kern w:val="0"/>
          <w:sz w:val="21"/>
          <w:szCs w:val="21"/>
          <w:lang w:val="en-US" w:eastAsia="en-US" w:bidi="ar-SA"/>
        </w:rPr>
        <w:t>11.3信息化项目造价咨询服务质量监督规范</w:t>
      </w:r>
    </w:p>
    <w:p w14:paraId="0D54D47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lang w:val="en-US" w:eastAsia="en-US"/>
        </w:rPr>
      </w:pPr>
      <w:r>
        <w:rPr>
          <w:rFonts w:hint="eastAsia" w:ascii="宋体" w:hAnsi="宋体" w:eastAsia="宋体" w:cs="宋体"/>
          <w:sz w:val="21"/>
          <w:szCs w:val="21"/>
        </w:rPr>
        <w:t>信息化项目造价咨询服务质量监督规范规定了服务质量检查、问题反馈、整改跟踪的流程与标准，确保咨询服务的质量和效果满足客户需求。涵盖了质量监督的方法、指标体系和评价机制，促进服务</w:t>
      </w:r>
      <w:r>
        <w:rPr>
          <w:rFonts w:hint="eastAsia" w:ascii="宋体" w:hAnsi="宋体" w:eastAsia="宋体" w:cs="宋体"/>
          <w:sz w:val="21"/>
          <w:szCs w:val="21"/>
          <w:lang w:val="en-US" w:eastAsia="en-US"/>
        </w:rPr>
        <w:t>质量的持续改进。</w:t>
      </w:r>
    </w:p>
    <w:p w14:paraId="2B43CBEC">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6" w:name="bookmark33"/>
      <w:bookmarkEnd w:id="46"/>
      <w:r>
        <w:rPr>
          <w:rFonts w:hint="eastAsia" w:ascii="黑体" w:hAnsi="黑体" w:eastAsia="黑体" w:cs="黑体"/>
          <w:b w:val="0"/>
          <w:bCs w:val="0"/>
          <w:snapToGrid w:val="0"/>
          <w:color w:val="000000"/>
          <w:spacing w:val="-12"/>
          <w:kern w:val="0"/>
          <w:sz w:val="21"/>
          <w:szCs w:val="21"/>
          <w:lang w:val="en-US" w:eastAsia="en-US" w:bidi="ar-SA"/>
        </w:rPr>
        <w:t>11.4信息化项目造价机构服务能力评价规范</w:t>
      </w:r>
    </w:p>
    <w:p w14:paraId="000C3F9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z w:val="21"/>
          <w:szCs w:val="21"/>
        </w:rPr>
      </w:pPr>
      <w:r>
        <w:rPr>
          <w:rFonts w:hint="eastAsia" w:ascii="宋体" w:hAnsi="宋体" w:eastAsia="宋体" w:cs="宋体"/>
          <w:sz w:val="21"/>
          <w:szCs w:val="21"/>
        </w:rPr>
        <w:t>信息化项目造价机构服务能力评价规范建立了对咨询机构服务能力的评价指标和方法，包括</w:t>
      </w:r>
    </w:p>
    <w:p w14:paraId="389D02D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sz w:val="21"/>
          <w:szCs w:val="21"/>
          <w:lang w:eastAsia="zh-CN"/>
        </w:rPr>
      </w:pPr>
      <w:r>
        <w:rPr>
          <w:rFonts w:hint="eastAsia" w:ascii="宋体" w:hAnsi="宋体" w:eastAsia="宋体" w:cs="宋体"/>
          <w:b w:val="0"/>
          <w:bCs w:val="0"/>
          <w:spacing w:val="-9"/>
          <w:sz w:val="21"/>
          <w:szCs w:val="21"/>
          <w:lang w:eastAsia="zh-CN"/>
        </w:rPr>
        <w:t>T/XXXX-2025</w:t>
      </w:r>
    </w:p>
    <w:p w14:paraId="5CC7122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1"/>
          <w:szCs w:val="21"/>
        </w:rPr>
      </w:pPr>
      <w:r>
        <w:rPr>
          <w:rFonts w:hint="eastAsia" w:ascii="宋体" w:hAnsi="宋体" w:eastAsia="宋体" w:cs="宋体"/>
          <w:sz w:val="21"/>
          <w:szCs w:val="21"/>
        </w:rPr>
        <w:t>技术能力、管理水平、业绩表现和客户满意度等方面，为委托方选择合适的咨询机构提供参考依据。</w:t>
      </w:r>
    </w:p>
    <w:p w14:paraId="23F09112">
      <w:pPr>
        <w:keepNext w:val="0"/>
        <w:keepLines w:val="0"/>
        <w:pageBreakBefore w:val="0"/>
        <w:widowControl/>
        <w:kinsoku w:val="0"/>
        <w:wordWrap/>
        <w:overflowPunct/>
        <w:topLinePunct w:val="0"/>
        <w:autoSpaceDE w:val="0"/>
        <w:autoSpaceDN w:val="0"/>
        <w:bidi w:val="0"/>
        <w:spacing w:before="69" w:line="360" w:lineRule="auto"/>
        <w:ind w:left="3"/>
        <w:outlineLvl w:val="1"/>
        <w:rPr>
          <w:rFonts w:ascii="宋体" w:hAnsi="宋体" w:eastAsia="宋体" w:cs="宋体"/>
          <w:b w:val="0"/>
          <w:bCs w:val="0"/>
          <w:spacing w:val="-3"/>
          <w:sz w:val="21"/>
          <w:szCs w:val="21"/>
        </w:rPr>
      </w:pPr>
      <w:bookmarkStart w:id="47" w:name="bookmark34"/>
      <w:bookmarkEnd w:id="47"/>
      <w:r>
        <w:rPr>
          <w:rFonts w:hint="eastAsia" w:ascii="黑体" w:hAnsi="黑体" w:eastAsia="黑体" w:cs="黑体"/>
          <w:b w:val="0"/>
          <w:bCs w:val="0"/>
          <w:snapToGrid w:val="0"/>
          <w:color w:val="000000"/>
          <w:spacing w:val="-12"/>
          <w:kern w:val="0"/>
          <w:sz w:val="21"/>
          <w:szCs w:val="21"/>
          <w:lang w:val="en-US" w:eastAsia="en-US" w:bidi="ar-SA"/>
        </w:rPr>
        <w:t>11.5信息化项目造价人员能力等级评价</w:t>
      </w:r>
    </w:p>
    <w:p w14:paraId="1DA99253">
      <w:pPr>
        <w:keepNext w:val="0"/>
        <w:keepLines w:val="0"/>
        <w:pageBreakBefore w:val="0"/>
        <w:widowControl w:val="0"/>
        <w:kinsoku/>
        <w:wordWrap/>
        <w:overflowPunct/>
        <w:topLinePunct w:val="0"/>
        <w:autoSpaceDE w:val="0"/>
        <w:autoSpaceDN w:val="0"/>
        <w:bidi w:val="0"/>
        <w:adjustRightInd w:val="0"/>
        <w:snapToGrid w:val="0"/>
        <w:spacing w:before="131" w:line="360" w:lineRule="auto"/>
        <w:ind w:right="125" w:firstLine="420"/>
        <w:textAlignment w:val="baseline"/>
        <w:rPr>
          <w:rFonts w:ascii="宋体" w:hAnsi="宋体" w:eastAsia="宋体" w:cs="宋体"/>
          <w:sz w:val="21"/>
          <w:szCs w:val="21"/>
        </w:rPr>
      </w:pPr>
      <w:r>
        <w:rPr>
          <w:rFonts w:hint="eastAsia" w:ascii="宋体" w:hAnsi="宋体" w:eastAsia="宋体" w:cs="宋体"/>
          <w:sz w:val="21"/>
          <w:szCs w:val="21"/>
        </w:rPr>
        <w:t>信息化项目造价人员能力等级评价规范制定了对咨询人员的专业知识、实践能力和职业道德的评价标准和方法，确立了能力等级的划分和认证机制，确保从业人员具备相应的专业素质和能力水平。</w:t>
      </w:r>
    </w:p>
    <w:p w14:paraId="15D72852">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48" w:name="bookmark35"/>
      <w:bookmarkEnd w:id="48"/>
      <w:r>
        <w:rPr>
          <w:rFonts w:hint="eastAsia" w:ascii="黑体" w:hAnsi="黑体" w:eastAsia="黑体" w:cs="黑体"/>
          <w:b w:val="0"/>
          <w:bCs w:val="0"/>
          <w:snapToGrid w:val="0"/>
          <w:color w:val="000000"/>
          <w:spacing w:val="-12"/>
          <w:kern w:val="0"/>
          <w:sz w:val="21"/>
          <w:szCs w:val="21"/>
          <w:lang w:val="en-US" w:eastAsia="en-US" w:bidi="ar-SA"/>
        </w:rPr>
        <w:t>11.6信息化项目造价咨询档案管理规范</w:t>
      </w:r>
    </w:p>
    <w:p w14:paraId="5CC76DBD">
      <w:pPr>
        <w:keepNext w:val="0"/>
        <w:keepLines w:val="0"/>
        <w:pageBreakBefore w:val="0"/>
        <w:widowControl/>
        <w:kinsoku w:val="0"/>
        <w:wordWrap/>
        <w:overflowPunct/>
        <w:topLinePunct w:val="0"/>
        <w:autoSpaceDE w:val="0"/>
        <w:autoSpaceDN w:val="0"/>
        <w:bidi w:val="0"/>
        <w:spacing w:before="303" w:line="360" w:lineRule="auto"/>
        <w:ind w:left="3" w:firstLine="420" w:firstLineChars="200"/>
        <w:outlineLvl w:val="0"/>
        <w:rPr>
          <w:rFonts w:hint="eastAsia" w:ascii="宋体" w:hAnsi="宋体" w:eastAsia="宋体" w:cs="宋体"/>
          <w:sz w:val="21"/>
          <w:szCs w:val="21"/>
        </w:rPr>
      </w:pPr>
      <w:r>
        <w:rPr>
          <w:rFonts w:hint="eastAsia" w:ascii="宋体" w:hAnsi="宋体" w:eastAsia="宋体" w:cs="宋体"/>
          <w:sz w:val="21"/>
          <w:szCs w:val="21"/>
        </w:rPr>
        <w:t>信息化项目造价咨询档案管理规范规定了咨询项目档案的管理流程和标准，包括档案的收集、整理、存储、检索和销毁等环节，确保档案资料的完整性、准确性和可追溯性，为咨询服务提供有力支持。</w:t>
      </w:r>
      <w:bookmarkStart w:id="49" w:name="bookmark36"/>
      <w:bookmarkEnd w:id="49"/>
    </w:p>
    <w:p w14:paraId="06858CB5">
      <w:pPr>
        <w:keepNext w:val="0"/>
        <w:keepLines w:val="0"/>
        <w:pageBreakBefore w:val="0"/>
        <w:widowControl/>
        <w:kinsoku w:val="0"/>
        <w:wordWrap/>
        <w:overflowPunct/>
        <w:topLinePunct w:val="0"/>
        <w:autoSpaceDE w:val="0"/>
        <w:autoSpaceDN w:val="0"/>
        <w:bidi w:val="0"/>
        <w:spacing w:before="68" w:line="360" w:lineRule="auto"/>
        <w:outlineLvl w:val="0"/>
        <w:rPr>
          <w:rFonts w:hint="eastAsia" w:ascii="黑体" w:hAnsi="黑体" w:eastAsia="黑体" w:cs="黑体"/>
          <w:b w:val="0"/>
          <w:bCs w:val="0"/>
          <w:spacing w:val="-12"/>
          <w:sz w:val="21"/>
          <w:szCs w:val="21"/>
          <w:lang w:val="en-US" w:eastAsia="en-US"/>
        </w:rPr>
      </w:pPr>
      <w:r>
        <w:rPr>
          <w:rFonts w:hint="eastAsia" w:ascii="黑体" w:hAnsi="黑体" w:eastAsia="黑体" w:cs="黑体"/>
          <w:b w:val="0"/>
          <w:bCs w:val="0"/>
          <w:spacing w:val="-12"/>
          <w:sz w:val="21"/>
          <w:szCs w:val="21"/>
          <w:lang w:val="en-US" w:eastAsia="en-US"/>
        </w:rPr>
        <w:t>12</w:t>
      </w:r>
      <w:r>
        <w:rPr>
          <w:rFonts w:hint="eastAsia" w:ascii="黑体" w:hAnsi="黑体" w:eastAsia="黑体" w:cs="黑体"/>
          <w:b w:val="0"/>
          <w:bCs w:val="0"/>
          <w:spacing w:val="-12"/>
          <w:sz w:val="21"/>
          <w:szCs w:val="21"/>
          <w:lang w:val="en-US" w:eastAsia="zh-CN"/>
        </w:rPr>
        <w:t xml:space="preserve"> </w:t>
      </w:r>
      <w:r>
        <w:rPr>
          <w:rFonts w:hint="eastAsia" w:ascii="黑体" w:hAnsi="黑体" w:eastAsia="黑体" w:cs="黑体"/>
          <w:b w:val="0"/>
          <w:bCs w:val="0"/>
          <w:spacing w:val="-12"/>
          <w:sz w:val="21"/>
          <w:szCs w:val="21"/>
          <w:lang w:val="en-US" w:eastAsia="en-US"/>
        </w:rPr>
        <w:t>服务评价标准子体系</w:t>
      </w:r>
    </w:p>
    <w:p w14:paraId="513FFC71">
      <w:pPr>
        <w:keepNext w:val="0"/>
        <w:keepLines w:val="0"/>
        <w:pageBreakBefore w:val="0"/>
        <w:widowControl/>
        <w:kinsoku w:val="0"/>
        <w:wordWrap/>
        <w:overflowPunct/>
        <w:topLinePunct w:val="0"/>
        <w:autoSpaceDE w:val="0"/>
        <w:autoSpaceDN w:val="0"/>
        <w:bidi w:val="0"/>
        <w:spacing w:before="69" w:line="360" w:lineRule="auto"/>
        <w:ind w:left="3"/>
        <w:outlineLvl w:val="1"/>
        <w:rPr>
          <w:rFonts w:hint="eastAsia" w:ascii="黑体" w:hAnsi="黑体" w:eastAsia="黑体" w:cs="黑体"/>
          <w:b w:val="0"/>
          <w:bCs w:val="0"/>
          <w:snapToGrid w:val="0"/>
          <w:color w:val="000000"/>
          <w:spacing w:val="-12"/>
          <w:kern w:val="0"/>
          <w:sz w:val="21"/>
          <w:szCs w:val="21"/>
          <w:lang w:val="en-US" w:eastAsia="en-US" w:bidi="ar-SA"/>
        </w:rPr>
      </w:pPr>
      <w:bookmarkStart w:id="50" w:name="bookmark37"/>
      <w:bookmarkEnd w:id="50"/>
      <w:r>
        <w:rPr>
          <w:rFonts w:hint="eastAsia" w:ascii="黑体" w:hAnsi="黑体" w:eastAsia="黑体" w:cs="黑体"/>
          <w:b w:val="0"/>
          <w:bCs w:val="0"/>
          <w:snapToGrid w:val="0"/>
          <w:color w:val="000000"/>
          <w:spacing w:val="-12"/>
          <w:kern w:val="0"/>
          <w:sz w:val="21"/>
          <w:szCs w:val="21"/>
          <w:lang w:val="en-US" w:eastAsia="en-US" w:bidi="ar-SA"/>
        </w:rPr>
        <w:t>12.1子体系结构图</w:t>
      </w:r>
    </w:p>
    <w:p w14:paraId="405CECE1">
      <w:pPr>
        <w:keepNext w:val="0"/>
        <w:keepLines w:val="0"/>
        <w:pageBreakBefore w:val="0"/>
        <w:widowControl/>
        <w:kinsoku w:val="0"/>
        <w:wordWrap/>
        <w:overflowPunct/>
        <w:topLinePunct w:val="0"/>
        <w:autoSpaceDE w:val="0"/>
        <w:autoSpaceDN w:val="0"/>
        <w:bidi w:val="0"/>
        <w:spacing w:before="303" w:line="360" w:lineRule="auto"/>
        <w:ind w:left="3" w:firstLine="420" w:firstLineChars="200"/>
        <w:outlineLvl w:val="0"/>
        <w:rPr>
          <w:rFonts w:hint="eastAsia" w:ascii="宋体" w:hAnsi="宋体" w:eastAsia="宋体" w:cs="宋体"/>
          <w:sz w:val="21"/>
          <w:szCs w:val="21"/>
          <w:lang w:eastAsia="zh-CN"/>
        </w:rPr>
      </w:pPr>
      <w:r>
        <w:rPr>
          <w:rFonts w:hint="eastAsia" w:ascii="宋体" w:hAnsi="宋体" w:eastAsia="宋体" w:cs="宋体"/>
          <w:sz w:val="21"/>
          <w:szCs w:val="21"/>
        </w:rPr>
        <w:t>服务评价标准子体系用于评估信息化项目造价咨询服务的效果和价值，促进服务提供方提升服务质量和专业水平。该体系包括客户满意度评价和行业竞争力评价等方面的标准。服务评价标准子体系结构图见图6</w:t>
      </w:r>
      <w:r>
        <w:rPr>
          <w:rFonts w:hint="eastAsia" w:ascii="宋体" w:hAnsi="宋体" w:eastAsia="宋体" w:cs="宋体"/>
          <w:sz w:val="21"/>
          <w:szCs w:val="21"/>
          <w:lang w:eastAsia="zh-CN"/>
        </w:rPr>
        <w:t>。</w:t>
      </w:r>
    </w:p>
    <w:p w14:paraId="4787EF11">
      <w:pPr>
        <w:keepNext w:val="0"/>
        <w:keepLines w:val="0"/>
        <w:pageBreakBefore w:val="0"/>
        <w:widowControl/>
        <w:kinsoku w:val="0"/>
        <w:wordWrap/>
        <w:overflowPunct/>
        <w:topLinePunct w:val="0"/>
        <w:autoSpaceDE w:val="0"/>
        <w:autoSpaceDN w:val="0"/>
        <w:bidi w:val="0"/>
        <w:spacing w:before="149" w:line="360" w:lineRule="auto"/>
        <w:ind w:right="81" w:firstLine="419"/>
        <w:jc w:val="center"/>
        <w:rPr>
          <w:rFonts w:hint="eastAsia" w:ascii="宋体" w:hAnsi="宋体" w:eastAsia="宋体" w:cs="宋体"/>
          <w:spacing w:val="15"/>
          <w:sz w:val="21"/>
          <w:szCs w:val="21"/>
          <w:lang w:eastAsia="zh-CN"/>
        </w:rPr>
      </w:pPr>
      <w:r>
        <w:rPr>
          <w:rFonts w:hint="eastAsia" w:ascii="宋体" w:hAnsi="宋体" w:eastAsia="宋体" w:cs="宋体"/>
          <w:spacing w:val="15"/>
          <w:sz w:val="21"/>
          <w:szCs w:val="21"/>
          <w:lang w:eastAsia="zh-CN"/>
        </w:rPr>
        <w:drawing>
          <wp:inline distT="0" distB="0" distL="114300" distR="114300">
            <wp:extent cx="2518410" cy="3673475"/>
            <wp:effectExtent l="0" t="0" r="21590" b="9525"/>
            <wp:docPr id="8" name="图片 55"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图6"/>
                    <pic:cNvPicPr>
                      <a:picLocks noChangeAspect="1"/>
                    </pic:cNvPicPr>
                  </pic:nvPicPr>
                  <pic:blipFill>
                    <a:blip r:embed="rId33"/>
                    <a:stretch>
                      <a:fillRect/>
                    </a:stretch>
                  </pic:blipFill>
                  <pic:spPr>
                    <a:xfrm>
                      <a:off x="0" y="0"/>
                      <a:ext cx="2518410" cy="3673475"/>
                    </a:xfrm>
                    <a:prstGeom prst="rect">
                      <a:avLst/>
                    </a:prstGeom>
                    <a:noFill/>
                    <a:ln>
                      <a:noFill/>
                    </a:ln>
                  </pic:spPr>
                </pic:pic>
              </a:graphicData>
            </a:graphic>
          </wp:inline>
        </w:drawing>
      </w:r>
    </w:p>
    <w:p w14:paraId="1CA73AEB">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eastAsia="宋体"/>
          <w:lang w:eastAsia="zh-CN"/>
        </w:rPr>
      </w:pPr>
      <w:r>
        <w:rPr>
          <w:rFonts w:hint="eastAsia" w:ascii="宋体" w:hAnsi="宋体" w:eastAsia="宋体" w:cs="宋体"/>
          <w:b w:val="0"/>
          <w:bCs w:val="0"/>
          <w:spacing w:val="-9"/>
          <w:sz w:val="21"/>
          <w:szCs w:val="21"/>
          <w:lang w:eastAsia="zh-CN"/>
        </w:rPr>
        <w:t>T/XXXX-2025</w:t>
      </w:r>
    </w:p>
    <w:p w14:paraId="71F2CE49">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rPr>
      </w:pPr>
      <w:r>
        <w:rPr>
          <w:rFonts w:hint="eastAsia" w:ascii="黑体" w:hAnsi="黑体" w:eastAsia="黑体" w:cs="黑体"/>
          <w:b w:val="0"/>
          <w:bCs w:val="0"/>
          <w:spacing w:val="-12"/>
          <w:sz w:val="21"/>
          <w:szCs w:val="21"/>
        </w:rPr>
        <w:t>图6服务评价标准子体系结构图</w:t>
      </w:r>
    </w:p>
    <w:p w14:paraId="7A58436F">
      <w:pPr>
        <w:keepNext w:val="0"/>
        <w:keepLines w:val="0"/>
        <w:pageBreakBefore w:val="0"/>
        <w:widowControl/>
        <w:kinsoku w:val="0"/>
        <w:wordWrap/>
        <w:overflowPunct/>
        <w:topLinePunct w:val="0"/>
        <w:autoSpaceDE w:val="0"/>
        <w:autoSpaceDN w:val="0"/>
        <w:bidi w:val="0"/>
        <w:spacing w:before="69" w:line="360" w:lineRule="auto"/>
        <w:outlineLvl w:val="1"/>
        <w:rPr>
          <w:rFonts w:hint="eastAsia" w:ascii="黑体" w:hAnsi="黑体" w:eastAsia="黑体" w:cs="黑体"/>
          <w:b w:val="0"/>
          <w:bCs w:val="0"/>
          <w:snapToGrid w:val="0"/>
          <w:color w:val="000000"/>
          <w:spacing w:val="-12"/>
          <w:kern w:val="0"/>
          <w:sz w:val="21"/>
          <w:szCs w:val="21"/>
          <w:lang w:val="en-US" w:eastAsia="en-US" w:bidi="ar-SA"/>
        </w:rPr>
      </w:pPr>
      <w:bookmarkStart w:id="51" w:name="bookmark38"/>
      <w:bookmarkEnd w:id="51"/>
      <w:r>
        <w:rPr>
          <w:rFonts w:hint="eastAsia" w:ascii="黑体" w:hAnsi="黑体" w:eastAsia="黑体" w:cs="黑体"/>
          <w:b w:val="0"/>
          <w:bCs w:val="0"/>
          <w:snapToGrid w:val="0"/>
          <w:color w:val="000000"/>
          <w:spacing w:val="-12"/>
          <w:kern w:val="0"/>
          <w:sz w:val="21"/>
          <w:szCs w:val="21"/>
          <w:lang w:val="en-US" w:eastAsia="en-US" w:bidi="ar-SA"/>
        </w:rPr>
        <w:t>12.2信息化项目造价客户满意度评价标准</w:t>
      </w:r>
    </w:p>
    <w:p w14:paraId="433554C9">
      <w:pPr>
        <w:keepNext w:val="0"/>
        <w:keepLines w:val="0"/>
        <w:pageBreakBefore w:val="0"/>
        <w:widowControl/>
        <w:kinsoku w:val="0"/>
        <w:wordWrap/>
        <w:overflowPunct/>
        <w:topLinePunct w:val="0"/>
        <w:autoSpaceDE w:val="0"/>
        <w:autoSpaceDN w:val="0"/>
        <w:bidi w:val="0"/>
        <w:spacing w:before="303" w:line="360" w:lineRule="auto"/>
        <w:ind w:left="3" w:firstLine="420" w:firstLineChars="200"/>
        <w:outlineLvl w:val="0"/>
        <w:rPr>
          <w:rFonts w:hint="eastAsia" w:ascii="宋体" w:hAnsi="宋体" w:eastAsia="宋体" w:cs="宋体"/>
          <w:sz w:val="21"/>
          <w:szCs w:val="21"/>
        </w:rPr>
      </w:pPr>
      <w:r>
        <w:rPr>
          <w:rFonts w:hint="eastAsia" w:ascii="宋体" w:hAnsi="宋体" w:eastAsia="宋体" w:cs="宋体"/>
          <w:sz w:val="21"/>
          <w:szCs w:val="21"/>
        </w:rPr>
        <w:t>信息化项目造价客户满意度评价标准涵盖了对咨询服务质量和效率的评价，包括客户对服务态度、专业能力、交付成果等方面的满意度测评方法和指标体系，确保服务能够满足客户需求。</w:t>
      </w:r>
    </w:p>
    <w:p w14:paraId="52929AC6">
      <w:pPr>
        <w:keepNext w:val="0"/>
        <w:keepLines w:val="0"/>
        <w:pageBreakBefore w:val="0"/>
        <w:widowControl/>
        <w:kinsoku w:val="0"/>
        <w:wordWrap/>
        <w:overflowPunct/>
        <w:topLinePunct w:val="0"/>
        <w:autoSpaceDE w:val="0"/>
        <w:autoSpaceDN w:val="0"/>
        <w:bidi w:val="0"/>
        <w:spacing w:before="69" w:line="360" w:lineRule="auto"/>
        <w:ind w:left="3"/>
        <w:outlineLvl w:val="1"/>
        <w:rPr>
          <w:rFonts w:ascii="宋体" w:hAnsi="宋体" w:eastAsia="宋体" w:cs="宋体"/>
          <w:b w:val="0"/>
          <w:bCs w:val="0"/>
          <w:spacing w:val="-2"/>
          <w:sz w:val="21"/>
          <w:szCs w:val="21"/>
        </w:rPr>
      </w:pPr>
      <w:bookmarkStart w:id="52" w:name="bookmark40"/>
      <w:bookmarkEnd w:id="52"/>
      <w:r>
        <w:rPr>
          <w:rFonts w:hint="eastAsia" w:ascii="黑体" w:hAnsi="黑体" w:eastAsia="黑体" w:cs="黑体"/>
          <w:b w:val="0"/>
          <w:bCs w:val="0"/>
          <w:snapToGrid w:val="0"/>
          <w:color w:val="000000"/>
          <w:spacing w:val="-12"/>
          <w:kern w:val="0"/>
          <w:sz w:val="21"/>
          <w:szCs w:val="21"/>
          <w:lang w:val="en-US" w:eastAsia="en-US" w:bidi="ar-SA"/>
        </w:rPr>
        <w:t>12.3信息化项目造价行业竞争力评价标准</w:t>
      </w:r>
    </w:p>
    <w:p w14:paraId="28A65CF2">
      <w:pPr>
        <w:keepNext w:val="0"/>
        <w:keepLines w:val="0"/>
        <w:pageBreakBefore w:val="0"/>
        <w:widowControl/>
        <w:kinsoku w:val="0"/>
        <w:wordWrap/>
        <w:overflowPunct/>
        <w:topLinePunct w:val="0"/>
        <w:autoSpaceDE w:val="0"/>
        <w:autoSpaceDN w:val="0"/>
        <w:bidi w:val="0"/>
        <w:spacing w:before="303" w:line="360" w:lineRule="auto"/>
        <w:ind w:left="3" w:firstLine="420" w:firstLineChars="200"/>
        <w:outlineLvl w:val="0"/>
        <w:rPr>
          <w:rFonts w:hint="eastAsia" w:ascii="方正仿宋_GB2312" w:hAnsi="方正仿宋_GB2312" w:eastAsia="方正仿宋_GB2312" w:cs="方正仿宋_GB2312"/>
          <w:sz w:val="32"/>
          <w:szCs w:val="32"/>
          <w:lang w:eastAsia="zh-CN"/>
        </w:rPr>
      </w:pPr>
      <w:r>
        <w:rPr>
          <w:rFonts w:hint="eastAsia" w:ascii="宋体" w:hAnsi="宋体" w:eastAsia="宋体" w:cs="宋体"/>
          <w:sz w:val="21"/>
          <w:szCs w:val="21"/>
        </w:rPr>
        <w:t>信息化项目造价行业竞争力评价标准规定了对咨询服务提供方的专业能力、技术创新、品牌影响力等核心竞争力的评价方法和指标体系，旨在通过客观公正的评价机制，促进行业整体竞争力的提升</w:t>
      </w:r>
      <w:r>
        <w:rPr>
          <w:rFonts w:hint="eastAsia" w:ascii="宋体" w:hAnsi="宋体" w:eastAsia="宋体" w:cs="宋体"/>
          <w:sz w:val="21"/>
          <w:szCs w:val="21"/>
          <w:lang w:eastAsia="zh-CN"/>
        </w:rPr>
        <w:t>。</w:t>
      </w:r>
    </w:p>
    <w:p w14:paraId="57CF0409">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pacing w:val="-1"/>
          <w:sz w:val="21"/>
          <w:szCs w:val="21"/>
          <w:lang w:eastAsia="zh-CN"/>
        </w:rPr>
        <w:sectPr>
          <w:headerReference r:id="rId9" w:type="default"/>
          <w:footerReference r:id="rId10" w:type="default"/>
          <w:pgSz w:w="11900" w:h="16832"/>
          <w:pgMar w:top="1134" w:right="1361" w:bottom="2154" w:left="1701" w:header="0" w:footer="1128" w:gutter="0"/>
          <w:paperSrc/>
          <w:pgNumType w:fmt="decimal"/>
          <w:cols w:space="720" w:num="1"/>
          <w:rtlGutter w:val="0"/>
          <w:docGrid w:linePitch="0" w:charSpace="0"/>
        </w:sectPr>
      </w:pPr>
    </w:p>
    <w:p w14:paraId="63C04692">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宋体" w:hAnsi="宋体" w:eastAsia="宋体" w:cs="宋体"/>
          <w:b w:val="0"/>
          <w:bCs w:val="0"/>
          <w:spacing w:val="-9"/>
          <w:sz w:val="21"/>
          <w:szCs w:val="21"/>
          <w:lang w:eastAsia="zh-CN"/>
        </w:rPr>
      </w:pPr>
      <w:r>
        <w:rPr>
          <w:rFonts w:hint="eastAsia" w:ascii="宋体" w:hAnsi="宋体" w:eastAsia="宋体" w:cs="宋体"/>
          <w:b w:val="0"/>
          <w:bCs w:val="0"/>
          <w:spacing w:val="-9"/>
          <w:sz w:val="21"/>
          <w:szCs w:val="21"/>
          <w:lang w:eastAsia="zh-CN"/>
        </w:rPr>
        <w:t>T/XXXX-2025</w:t>
      </w:r>
    </w:p>
    <w:p w14:paraId="14A2F416">
      <w:pPr>
        <w:keepNext w:val="0"/>
        <w:keepLines w:val="0"/>
        <w:pageBreakBefore w:val="0"/>
        <w:widowControl/>
        <w:kinsoku w:val="0"/>
        <w:wordWrap/>
        <w:overflowPunct/>
        <w:topLinePunct w:val="0"/>
        <w:autoSpaceDE w:val="0"/>
        <w:autoSpaceDN w:val="0"/>
        <w:bidi w:val="0"/>
        <w:spacing w:before="69" w:line="360" w:lineRule="auto"/>
        <w:jc w:val="both"/>
        <w:outlineLvl w:val="1"/>
        <w:rPr>
          <w:rFonts w:hint="eastAsia" w:ascii="黑体" w:hAnsi="黑体" w:eastAsia="黑体" w:cs="黑体"/>
          <w:b w:val="0"/>
          <w:bCs w:val="0"/>
          <w:snapToGrid w:val="0"/>
          <w:color w:val="000000"/>
          <w:spacing w:val="-12"/>
          <w:kern w:val="0"/>
          <w:sz w:val="21"/>
          <w:szCs w:val="21"/>
          <w:lang w:val="en-US" w:eastAsia="zh-CN" w:bidi="ar-SA"/>
        </w:rPr>
      </w:pPr>
    </w:p>
    <w:p w14:paraId="5FF4FED0">
      <w:pPr>
        <w:keepNext w:val="0"/>
        <w:keepLines w:val="0"/>
        <w:pageBreakBefore w:val="0"/>
        <w:widowControl/>
        <w:kinsoku w:val="0"/>
        <w:wordWrap/>
        <w:overflowPunct/>
        <w:topLinePunct w:val="0"/>
        <w:autoSpaceDE w:val="0"/>
        <w:autoSpaceDN w:val="0"/>
        <w:bidi w:val="0"/>
        <w:spacing w:before="69" w:line="360" w:lineRule="auto"/>
        <w:ind w:left="3"/>
        <w:jc w:val="center"/>
        <w:outlineLvl w:val="1"/>
        <w:rPr>
          <w:rFonts w:hint="default" w:ascii="黑体" w:hAnsi="黑体" w:eastAsia="黑体" w:cs="黑体"/>
          <w:b w:val="0"/>
          <w:bCs w:val="0"/>
          <w:snapToGrid w:val="0"/>
          <w:color w:val="000000"/>
          <w:spacing w:val="-12"/>
          <w:kern w:val="0"/>
          <w:sz w:val="21"/>
          <w:szCs w:val="21"/>
          <w:lang w:val="en-US" w:eastAsia="zh-CN" w:bidi="ar-SA"/>
        </w:rPr>
      </w:pPr>
      <w:r>
        <w:rPr>
          <w:rFonts w:hint="eastAsia" w:ascii="黑体" w:hAnsi="黑体" w:eastAsia="黑体" w:cs="黑体"/>
          <w:b w:val="0"/>
          <w:bCs w:val="0"/>
          <w:snapToGrid w:val="0"/>
          <w:color w:val="000000"/>
          <w:spacing w:val="-12"/>
          <w:kern w:val="0"/>
          <w:sz w:val="21"/>
          <w:szCs w:val="21"/>
          <w:lang w:val="en-US" w:eastAsia="zh-CN" w:bidi="ar-SA"/>
        </w:rPr>
        <w:t xml:space="preserve">附 录 A </w:t>
      </w:r>
      <w:r>
        <w:rPr>
          <w:rFonts w:hint="default" w:ascii="黑体" w:hAnsi="黑体" w:eastAsia="黑体" w:cs="黑体"/>
          <w:b w:val="0"/>
          <w:bCs w:val="0"/>
          <w:snapToGrid w:val="0"/>
          <w:color w:val="000000"/>
          <w:spacing w:val="-12"/>
          <w:kern w:val="0"/>
          <w:sz w:val="21"/>
          <w:szCs w:val="21"/>
          <w:lang w:val="en-US" w:eastAsia="zh-CN" w:bidi="ar-SA"/>
        </w:rPr>
        <w:t>(资料性)</w:t>
      </w:r>
      <w:r>
        <w:rPr>
          <w:rFonts w:hint="eastAsia" w:ascii="黑体" w:hAnsi="黑体" w:eastAsia="黑体" w:cs="黑体"/>
          <w:b w:val="0"/>
          <w:bCs w:val="0"/>
          <w:snapToGrid w:val="0"/>
          <w:color w:val="000000"/>
          <w:spacing w:val="-12"/>
          <w:kern w:val="0"/>
          <w:sz w:val="21"/>
          <w:szCs w:val="21"/>
          <w:lang w:val="en-US" w:eastAsia="zh-CN" w:bidi="ar-SA"/>
        </w:rPr>
        <w:t xml:space="preserve"> </w:t>
      </w:r>
      <w:r>
        <w:rPr>
          <w:rFonts w:hint="default" w:ascii="黑体" w:hAnsi="黑体" w:eastAsia="黑体" w:cs="黑体"/>
          <w:b w:val="0"/>
          <w:bCs w:val="0"/>
          <w:snapToGrid w:val="0"/>
          <w:color w:val="000000"/>
          <w:spacing w:val="-12"/>
          <w:kern w:val="0"/>
          <w:sz w:val="21"/>
          <w:szCs w:val="21"/>
          <w:lang w:val="en-US" w:eastAsia="zh-CN" w:bidi="ar-SA"/>
        </w:rPr>
        <w:t>标准体系结构图</w:t>
      </w:r>
    </w:p>
    <w:p w14:paraId="60747850">
      <w:pPr>
        <w:keepNext w:val="0"/>
        <w:keepLines w:val="0"/>
        <w:pageBreakBefore w:val="0"/>
        <w:widowControl/>
        <w:kinsoku w:val="0"/>
        <w:wordWrap/>
        <w:overflowPunct/>
        <w:topLinePunct w:val="0"/>
        <w:autoSpaceDE w:val="0"/>
        <w:autoSpaceDN w:val="0"/>
        <w:bidi w:val="0"/>
        <w:spacing w:before="69" w:line="360" w:lineRule="auto"/>
        <w:ind w:left="3"/>
        <w:jc w:val="center"/>
        <w:outlineLvl w:val="1"/>
        <w:rPr>
          <w:rFonts w:hint="default" w:ascii="黑体" w:hAnsi="黑体" w:eastAsia="黑体" w:cs="黑体"/>
          <w:b/>
          <w:bCs/>
          <w:snapToGrid w:val="0"/>
          <w:color w:val="000000"/>
          <w:spacing w:val="-12"/>
          <w:kern w:val="0"/>
          <w:sz w:val="28"/>
          <w:szCs w:val="28"/>
          <w:lang w:val="en-US" w:eastAsia="zh-CN" w:bidi="ar-SA"/>
        </w:rPr>
      </w:pPr>
    </w:p>
    <w:p w14:paraId="55428279">
      <w:pPr>
        <w:keepNext w:val="0"/>
        <w:keepLines w:val="0"/>
        <w:pageBreakBefore w:val="0"/>
        <w:widowControl/>
        <w:kinsoku w:val="0"/>
        <w:wordWrap/>
        <w:overflowPunct/>
        <w:topLinePunct w:val="0"/>
        <w:autoSpaceDE w:val="0"/>
        <w:autoSpaceDN w:val="0"/>
        <w:bidi w:val="0"/>
        <w:spacing w:before="69" w:line="360" w:lineRule="auto"/>
        <w:ind w:left="3"/>
        <w:jc w:val="center"/>
        <w:outlineLvl w:val="1"/>
        <w:rPr>
          <w:rFonts w:hint="default" w:ascii="黑体" w:hAnsi="黑体" w:eastAsia="黑体" w:cs="黑体"/>
          <w:b/>
          <w:bCs/>
          <w:snapToGrid w:val="0"/>
          <w:color w:val="000000"/>
          <w:spacing w:val="-12"/>
          <w:kern w:val="0"/>
          <w:sz w:val="28"/>
          <w:szCs w:val="28"/>
          <w:lang w:val="en-US" w:eastAsia="zh-CN" w:bidi="ar-SA"/>
        </w:rPr>
        <w:sectPr>
          <w:pgSz w:w="16832" w:h="11900" w:orient="landscape"/>
          <w:pgMar w:top="1412" w:right="1304" w:bottom="1054" w:left="1304" w:header="0" w:footer="1128" w:gutter="0"/>
          <w:paperSrc/>
          <w:pgNumType w:fmt="decimal"/>
          <w:cols w:space="720" w:num="1"/>
          <w:rtlGutter w:val="0"/>
          <w:docGrid w:linePitch="0" w:charSpace="0"/>
        </w:sectPr>
      </w:pPr>
      <w:r>
        <w:rPr>
          <w:rFonts w:hint="default" w:ascii="黑体" w:hAnsi="黑体" w:eastAsia="黑体" w:cs="黑体"/>
          <w:b/>
          <w:bCs/>
          <w:snapToGrid w:val="0"/>
          <w:color w:val="000000"/>
          <w:spacing w:val="-12"/>
          <w:kern w:val="0"/>
          <w:sz w:val="28"/>
          <w:szCs w:val="28"/>
          <w:lang w:val="en-US" w:eastAsia="zh-CN" w:bidi="ar-SA"/>
        </w:rPr>
        <w:drawing>
          <wp:inline distT="0" distB="0" distL="114300" distR="114300">
            <wp:extent cx="8979535" cy="3746500"/>
            <wp:effectExtent l="0" t="0" r="12065" b="12700"/>
            <wp:docPr id="9" name="图片 12" descr="图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图7(4)"/>
                    <pic:cNvPicPr>
                      <a:picLocks noChangeAspect="1"/>
                    </pic:cNvPicPr>
                  </pic:nvPicPr>
                  <pic:blipFill>
                    <a:blip r:embed="rId34"/>
                    <a:stretch>
                      <a:fillRect/>
                    </a:stretch>
                  </pic:blipFill>
                  <pic:spPr>
                    <a:xfrm>
                      <a:off x="0" y="0"/>
                      <a:ext cx="8979535" cy="3746500"/>
                    </a:xfrm>
                    <a:prstGeom prst="rect">
                      <a:avLst/>
                    </a:prstGeom>
                    <a:noFill/>
                    <a:ln>
                      <a:noFill/>
                    </a:ln>
                  </pic:spPr>
                </pic:pic>
              </a:graphicData>
            </a:graphic>
          </wp:inline>
        </w:drawing>
      </w:r>
    </w:p>
    <w:p w14:paraId="0697C3F1">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napToGrid w:val="0"/>
          <w:color w:val="000000"/>
          <w:spacing w:val="-12"/>
          <w:kern w:val="0"/>
          <w:sz w:val="21"/>
          <w:szCs w:val="21"/>
          <w:lang w:val="en-US" w:eastAsia="zh-CN" w:bidi="ar-SA"/>
        </w:rPr>
      </w:pPr>
      <w:bookmarkStart w:id="53" w:name="bookmark42"/>
      <w:bookmarkEnd w:id="53"/>
      <w:bookmarkStart w:id="54" w:name="bookmark41"/>
      <w:bookmarkEnd w:id="54"/>
      <w:bookmarkStart w:id="55" w:name="bookmark41"/>
      <w:bookmarkEnd w:id="55"/>
      <w:bookmarkStart w:id="56" w:name="bookmark41"/>
      <w:bookmarkEnd w:id="56"/>
      <w:r>
        <w:rPr>
          <w:rFonts w:hint="eastAsia" w:ascii="宋体" w:hAnsi="宋体" w:eastAsia="宋体" w:cs="宋体"/>
          <w:b w:val="0"/>
          <w:bCs w:val="0"/>
          <w:spacing w:val="-9"/>
          <w:sz w:val="21"/>
          <w:szCs w:val="21"/>
          <w:lang w:eastAsia="zh-CN"/>
        </w:rPr>
        <w:t>T/XXXX-2025</w:t>
      </w:r>
    </w:p>
    <w:p w14:paraId="516CBBBC">
      <w:pPr>
        <w:keepNext w:val="0"/>
        <w:keepLines w:val="0"/>
        <w:pageBreakBefore w:val="0"/>
        <w:widowControl/>
        <w:kinsoku w:val="0"/>
        <w:wordWrap/>
        <w:overflowPunct/>
        <w:topLinePunct w:val="0"/>
        <w:autoSpaceDE w:val="0"/>
        <w:autoSpaceDN w:val="0"/>
        <w:bidi w:val="0"/>
        <w:spacing w:before="69" w:line="360" w:lineRule="auto"/>
        <w:jc w:val="center"/>
        <w:outlineLvl w:val="1"/>
        <w:rPr>
          <w:rFonts w:hint="default" w:ascii="黑体" w:hAnsi="黑体" w:eastAsia="黑体" w:cs="黑体"/>
          <w:b w:val="0"/>
          <w:bCs w:val="0"/>
          <w:snapToGrid w:val="0"/>
          <w:color w:val="000000"/>
          <w:spacing w:val="-12"/>
          <w:kern w:val="0"/>
          <w:sz w:val="21"/>
          <w:szCs w:val="21"/>
          <w:lang w:val="en-US" w:eastAsia="zh-CN" w:bidi="ar-SA"/>
        </w:rPr>
      </w:pPr>
      <w:r>
        <w:rPr>
          <w:rFonts w:hint="default" w:ascii="黑体" w:hAnsi="黑体" w:eastAsia="黑体" w:cs="黑体"/>
          <w:b w:val="0"/>
          <w:bCs w:val="0"/>
          <w:snapToGrid w:val="0"/>
          <w:color w:val="000000"/>
          <w:spacing w:val="-12"/>
          <w:kern w:val="0"/>
          <w:sz w:val="21"/>
          <w:szCs w:val="21"/>
          <w:lang w:val="en-US" w:eastAsia="zh-CN" w:bidi="ar-SA"/>
        </w:rPr>
        <w:t>附</w:t>
      </w:r>
      <w:r>
        <w:rPr>
          <w:rFonts w:hint="eastAsia" w:ascii="黑体" w:hAnsi="黑体" w:eastAsia="黑体" w:cs="黑体"/>
          <w:b w:val="0"/>
          <w:bCs w:val="0"/>
          <w:snapToGrid w:val="0"/>
          <w:color w:val="000000"/>
          <w:spacing w:val="-12"/>
          <w:kern w:val="0"/>
          <w:sz w:val="21"/>
          <w:szCs w:val="21"/>
          <w:lang w:val="en-US" w:eastAsia="zh-CN" w:bidi="ar-SA"/>
        </w:rPr>
        <w:t xml:space="preserve"> </w:t>
      </w:r>
      <w:r>
        <w:rPr>
          <w:rFonts w:hint="default" w:ascii="黑体" w:hAnsi="黑体" w:eastAsia="黑体" w:cs="黑体"/>
          <w:b w:val="0"/>
          <w:bCs w:val="0"/>
          <w:snapToGrid w:val="0"/>
          <w:color w:val="000000"/>
          <w:spacing w:val="-12"/>
          <w:kern w:val="0"/>
          <w:sz w:val="21"/>
          <w:szCs w:val="21"/>
          <w:lang w:val="en-US" w:eastAsia="zh-CN" w:bidi="ar-SA"/>
        </w:rPr>
        <w:t>录</w:t>
      </w:r>
      <w:r>
        <w:rPr>
          <w:rFonts w:hint="eastAsia" w:ascii="黑体" w:hAnsi="黑体" w:eastAsia="黑体" w:cs="黑体"/>
          <w:b w:val="0"/>
          <w:bCs w:val="0"/>
          <w:snapToGrid w:val="0"/>
          <w:color w:val="000000"/>
          <w:spacing w:val="-12"/>
          <w:kern w:val="0"/>
          <w:sz w:val="21"/>
          <w:szCs w:val="21"/>
          <w:lang w:val="en-US" w:eastAsia="zh-CN" w:bidi="ar-SA"/>
        </w:rPr>
        <w:t xml:space="preserve"> </w:t>
      </w:r>
      <w:r>
        <w:rPr>
          <w:rFonts w:hint="default" w:ascii="黑体" w:hAnsi="黑体" w:eastAsia="黑体" w:cs="黑体"/>
          <w:b w:val="0"/>
          <w:bCs w:val="0"/>
          <w:snapToGrid w:val="0"/>
          <w:color w:val="000000"/>
          <w:spacing w:val="-12"/>
          <w:kern w:val="0"/>
          <w:sz w:val="21"/>
          <w:szCs w:val="21"/>
          <w:lang w:val="en-US" w:eastAsia="zh-CN" w:bidi="ar-SA"/>
        </w:rPr>
        <w:t>B</w:t>
      </w:r>
      <w:bookmarkStart w:id="57" w:name="bookmark42"/>
      <w:bookmarkEnd w:id="57"/>
      <w:r>
        <w:rPr>
          <w:rFonts w:hint="eastAsia" w:ascii="黑体" w:hAnsi="黑体" w:eastAsia="黑体" w:cs="黑体"/>
          <w:b w:val="0"/>
          <w:bCs w:val="0"/>
          <w:snapToGrid w:val="0"/>
          <w:color w:val="000000"/>
          <w:spacing w:val="-12"/>
          <w:kern w:val="0"/>
          <w:sz w:val="21"/>
          <w:szCs w:val="21"/>
          <w:lang w:val="en-US" w:eastAsia="zh-CN" w:bidi="ar-SA"/>
        </w:rPr>
        <w:t xml:space="preserve"> </w:t>
      </w:r>
      <w:r>
        <w:rPr>
          <w:rFonts w:hint="default" w:ascii="黑体" w:hAnsi="黑体" w:eastAsia="黑体" w:cs="黑体"/>
          <w:b w:val="0"/>
          <w:bCs w:val="0"/>
          <w:snapToGrid w:val="0"/>
          <w:color w:val="000000"/>
          <w:spacing w:val="-12"/>
          <w:kern w:val="0"/>
          <w:sz w:val="21"/>
          <w:szCs w:val="21"/>
          <w:lang w:val="en-US" w:eastAsia="zh-CN" w:bidi="ar-SA"/>
        </w:rPr>
        <w:t>(资料性)</w:t>
      </w:r>
      <w:bookmarkStart w:id="58" w:name="bookmark42"/>
      <w:bookmarkEnd w:id="58"/>
      <w:r>
        <w:rPr>
          <w:rFonts w:hint="eastAsia" w:ascii="黑体" w:hAnsi="黑体" w:eastAsia="黑体" w:cs="黑体"/>
          <w:b w:val="0"/>
          <w:bCs w:val="0"/>
          <w:snapToGrid w:val="0"/>
          <w:color w:val="000000"/>
          <w:spacing w:val="-12"/>
          <w:kern w:val="0"/>
          <w:sz w:val="21"/>
          <w:szCs w:val="21"/>
          <w:lang w:val="en-US" w:eastAsia="zh-CN" w:bidi="ar-SA"/>
        </w:rPr>
        <w:t xml:space="preserve"> </w:t>
      </w:r>
      <w:r>
        <w:rPr>
          <w:rFonts w:hint="default" w:ascii="黑体" w:hAnsi="黑体" w:eastAsia="黑体" w:cs="黑体"/>
          <w:b w:val="0"/>
          <w:bCs w:val="0"/>
          <w:snapToGrid w:val="0"/>
          <w:color w:val="000000"/>
          <w:spacing w:val="-12"/>
          <w:kern w:val="0"/>
          <w:sz w:val="21"/>
          <w:szCs w:val="21"/>
          <w:lang w:val="en-US" w:eastAsia="zh-CN" w:bidi="ar-SA"/>
        </w:rPr>
        <w:t>标准统计表</w:t>
      </w:r>
    </w:p>
    <w:p w14:paraId="652B0721">
      <w:pPr>
        <w:keepNext w:val="0"/>
        <w:keepLines w:val="0"/>
        <w:pageBreakBefore w:val="0"/>
        <w:widowControl/>
        <w:kinsoku w:val="0"/>
        <w:wordWrap/>
        <w:overflowPunct/>
        <w:topLinePunct w:val="0"/>
        <w:autoSpaceDE w:val="0"/>
        <w:autoSpaceDN w:val="0"/>
        <w:bidi w:val="0"/>
        <w:spacing w:before="69" w:line="360" w:lineRule="auto"/>
        <w:ind w:left="3"/>
        <w:jc w:val="center"/>
        <w:outlineLvl w:val="1"/>
        <w:rPr>
          <w:rFonts w:hint="default" w:ascii="黑体" w:hAnsi="黑体" w:eastAsia="黑体" w:cs="黑体"/>
          <w:b w:val="0"/>
          <w:bCs w:val="0"/>
          <w:snapToGrid w:val="0"/>
          <w:color w:val="000000"/>
          <w:spacing w:val="-12"/>
          <w:kern w:val="0"/>
          <w:sz w:val="18"/>
          <w:szCs w:val="18"/>
          <w:lang w:val="en-US" w:eastAsia="zh-CN" w:bidi="ar-SA"/>
        </w:rPr>
      </w:pPr>
      <w:r>
        <w:rPr>
          <w:rFonts w:hint="default" w:ascii="黑体" w:hAnsi="黑体" w:eastAsia="黑体" w:cs="黑体"/>
          <w:b w:val="0"/>
          <w:bCs w:val="0"/>
          <w:snapToGrid w:val="0"/>
          <w:color w:val="000000"/>
          <w:spacing w:val="-12"/>
          <w:kern w:val="0"/>
          <w:sz w:val="18"/>
          <w:szCs w:val="18"/>
          <w:lang w:val="en-US" w:eastAsia="zh-CN" w:bidi="ar-SA"/>
        </w:rPr>
        <w:t>表B.1标准统计表</w:t>
      </w:r>
    </w:p>
    <w:p w14:paraId="2CE863A0">
      <w:pPr>
        <w:keepNext w:val="0"/>
        <w:keepLines w:val="0"/>
        <w:pageBreakBefore w:val="0"/>
        <w:widowControl/>
        <w:kinsoku w:val="0"/>
        <w:wordWrap/>
        <w:overflowPunct/>
        <w:topLinePunct w:val="0"/>
        <w:autoSpaceDE w:val="0"/>
        <w:autoSpaceDN w:val="0"/>
        <w:bidi w:val="0"/>
        <w:spacing w:line="360" w:lineRule="auto"/>
      </w:pPr>
    </w:p>
    <w:tbl>
      <w:tblPr>
        <w:tblStyle w:val="7"/>
        <w:tblW w:w="102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4"/>
        <w:gridCol w:w="1269"/>
        <w:gridCol w:w="1328"/>
        <w:gridCol w:w="1478"/>
        <w:gridCol w:w="1239"/>
        <w:gridCol w:w="1269"/>
        <w:gridCol w:w="1249"/>
        <w:gridCol w:w="1249"/>
      </w:tblGrid>
      <w:tr w14:paraId="12CAD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trPr>
        <w:tc>
          <w:tcPr>
            <w:tcW w:w="1144" w:type="dxa"/>
            <w:noWrap w:val="0"/>
            <w:vAlign w:val="top"/>
          </w:tcPr>
          <w:p w14:paraId="6FE2DF7F">
            <w:pPr>
              <w:keepNext w:val="0"/>
              <w:keepLines w:val="0"/>
              <w:pageBreakBefore w:val="0"/>
              <w:widowControl/>
              <w:kinsoku w:val="0"/>
              <w:wordWrap/>
              <w:overflowPunct/>
              <w:topLinePunct w:val="0"/>
              <w:autoSpaceDE w:val="0"/>
              <w:autoSpaceDN w:val="0"/>
              <w:bidi w:val="0"/>
              <w:spacing w:before="179" w:line="360" w:lineRule="auto"/>
              <w:ind w:left="358"/>
              <w:rPr>
                <w:rFonts w:ascii="宋体" w:hAnsi="宋体" w:eastAsia="宋体" w:cs="宋体"/>
                <w:b w:val="0"/>
                <w:bCs w:val="0"/>
                <w:sz w:val="18"/>
                <w:szCs w:val="18"/>
              </w:rPr>
            </w:pPr>
            <w:r>
              <w:rPr>
                <w:rFonts w:ascii="宋体" w:hAnsi="宋体" w:eastAsia="宋体" w:cs="宋体"/>
                <w:b w:val="0"/>
                <w:bCs w:val="0"/>
                <w:spacing w:val="14"/>
                <w:sz w:val="18"/>
                <w:szCs w:val="18"/>
              </w:rPr>
              <w:t>科目</w:t>
            </w:r>
          </w:p>
        </w:tc>
        <w:tc>
          <w:tcPr>
            <w:tcW w:w="1269" w:type="dxa"/>
            <w:noWrap w:val="0"/>
            <w:vAlign w:val="top"/>
          </w:tcPr>
          <w:p w14:paraId="4BDA54EF">
            <w:pPr>
              <w:keepNext w:val="0"/>
              <w:keepLines w:val="0"/>
              <w:pageBreakBefore w:val="0"/>
              <w:widowControl/>
              <w:kinsoku w:val="0"/>
              <w:wordWrap/>
              <w:overflowPunct/>
              <w:topLinePunct w:val="0"/>
              <w:autoSpaceDE w:val="0"/>
              <w:autoSpaceDN w:val="0"/>
              <w:bidi w:val="0"/>
              <w:spacing w:before="30" w:line="360" w:lineRule="auto"/>
              <w:ind w:left="523" w:right="63" w:hanging="369"/>
              <w:rPr>
                <w:rFonts w:ascii="宋体" w:hAnsi="宋体" w:eastAsia="宋体" w:cs="宋体"/>
                <w:b w:val="0"/>
                <w:bCs w:val="0"/>
                <w:sz w:val="18"/>
                <w:szCs w:val="18"/>
              </w:rPr>
            </w:pPr>
            <w:r>
              <w:rPr>
                <w:rFonts w:ascii="宋体" w:hAnsi="宋体" w:eastAsia="宋体" w:cs="宋体"/>
                <w:b w:val="0"/>
                <w:bCs w:val="0"/>
                <w:spacing w:val="-4"/>
                <w:sz w:val="18"/>
                <w:szCs w:val="18"/>
              </w:rPr>
              <w:t>通用基础标</w:t>
            </w:r>
            <w:r>
              <w:rPr>
                <w:rFonts w:ascii="宋体" w:hAnsi="宋体" w:eastAsia="宋体" w:cs="宋体"/>
                <w:b w:val="0"/>
                <w:bCs w:val="0"/>
                <w:spacing w:val="-3"/>
                <w:sz w:val="18"/>
                <w:szCs w:val="18"/>
              </w:rPr>
              <w:t>准</w:t>
            </w:r>
          </w:p>
        </w:tc>
        <w:tc>
          <w:tcPr>
            <w:tcW w:w="1328" w:type="dxa"/>
            <w:noWrap w:val="0"/>
            <w:vAlign w:val="top"/>
          </w:tcPr>
          <w:p w14:paraId="2947F015">
            <w:pPr>
              <w:keepNext w:val="0"/>
              <w:keepLines w:val="0"/>
              <w:pageBreakBefore w:val="0"/>
              <w:widowControl/>
              <w:kinsoku w:val="0"/>
              <w:wordWrap/>
              <w:overflowPunct/>
              <w:topLinePunct w:val="0"/>
              <w:autoSpaceDE w:val="0"/>
              <w:autoSpaceDN w:val="0"/>
              <w:bidi w:val="0"/>
              <w:spacing w:before="30" w:line="360" w:lineRule="auto"/>
              <w:ind w:left="135"/>
              <w:rPr>
                <w:rFonts w:ascii="宋体" w:hAnsi="宋体" w:eastAsia="宋体" w:cs="宋体"/>
                <w:b w:val="0"/>
                <w:bCs w:val="0"/>
                <w:sz w:val="18"/>
                <w:szCs w:val="18"/>
              </w:rPr>
            </w:pPr>
            <w:r>
              <w:rPr>
                <w:rFonts w:ascii="宋体" w:hAnsi="宋体" w:eastAsia="宋体" w:cs="宋体"/>
                <w:b w:val="0"/>
                <w:bCs w:val="0"/>
                <w:spacing w:val="-4"/>
                <w:sz w:val="18"/>
                <w:szCs w:val="18"/>
              </w:rPr>
              <w:t>业务服务标</w:t>
            </w:r>
          </w:p>
          <w:p w14:paraId="45472709">
            <w:pPr>
              <w:keepNext w:val="0"/>
              <w:keepLines w:val="0"/>
              <w:pageBreakBefore w:val="0"/>
              <w:widowControl/>
              <w:kinsoku w:val="0"/>
              <w:wordWrap/>
              <w:overflowPunct/>
              <w:topLinePunct w:val="0"/>
              <w:autoSpaceDE w:val="0"/>
              <w:autoSpaceDN w:val="0"/>
              <w:bidi w:val="0"/>
              <w:spacing w:before="21" w:line="360" w:lineRule="auto"/>
              <w:ind w:left="555"/>
              <w:rPr>
                <w:rFonts w:ascii="宋体" w:hAnsi="宋体" w:eastAsia="宋体" w:cs="宋体"/>
                <w:b w:val="0"/>
                <w:bCs w:val="0"/>
                <w:sz w:val="18"/>
                <w:szCs w:val="18"/>
              </w:rPr>
            </w:pPr>
            <w:r>
              <w:rPr>
                <w:rFonts w:ascii="宋体" w:hAnsi="宋体" w:eastAsia="宋体" w:cs="宋体"/>
                <w:b w:val="0"/>
                <w:bCs w:val="0"/>
                <w:spacing w:val="-3"/>
                <w:sz w:val="18"/>
                <w:szCs w:val="18"/>
              </w:rPr>
              <w:t>准</w:t>
            </w:r>
          </w:p>
        </w:tc>
        <w:tc>
          <w:tcPr>
            <w:tcW w:w="1478" w:type="dxa"/>
            <w:noWrap w:val="0"/>
            <w:vAlign w:val="top"/>
          </w:tcPr>
          <w:p w14:paraId="1D5CE3A3">
            <w:pPr>
              <w:keepNext w:val="0"/>
              <w:keepLines w:val="0"/>
              <w:pageBreakBefore w:val="0"/>
              <w:widowControl/>
              <w:kinsoku w:val="0"/>
              <w:wordWrap/>
              <w:overflowPunct/>
              <w:topLinePunct w:val="0"/>
              <w:autoSpaceDE w:val="0"/>
              <w:autoSpaceDN w:val="0"/>
              <w:bidi w:val="0"/>
              <w:spacing w:before="30" w:line="360" w:lineRule="auto"/>
              <w:ind w:left="316" w:right="219" w:hanging="109"/>
              <w:rPr>
                <w:rFonts w:ascii="宋体" w:hAnsi="宋体" w:eastAsia="宋体" w:cs="宋体"/>
                <w:b w:val="0"/>
                <w:bCs w:val="0"/>
                <w:sz w:val="18"/>
                <w:szCs w:val="18"/>
              </w:rPr>
            </w:pPr>
            <w:r>
              <w:rPr>
                <w:rFonts w:ascii="宋体" w:hAnsi="宋体" w:eastAsia="宋体" w:cs="宋体"/>
                <w:b w:val="0"/>
                <w:bCs w:val="0"/>
                <w:spacing w:val="-4"/>
                <w:sz w:val="18"/>
                <w:szCs w:val="18"/>
              </w:rPr>
              <w:t>特定对象及</w:t>
            </w:r>
            <w:r>
              <w:rPr>
                <w:rFonts w:ascii="宋体" w:hAnsi="宋体" w:eastAsia="宋体" w:cs="宋体"/>
                <w:b w:val="0"/>
                <w:bCs w:val="0"/>
                <w:spacing w:val="-5"/>
                <w:sz w:val="18"/>
                <w:szCs w:val="18"/>
              </w:rPr>
              <w:t>行业标准</w:t>
            </w:r>
          </w:p>
        </w:tc>
        <w:tc>
          <w:tcPr>
            <w:tcW w:w="1239" w:type="dxa"/>
            <w:noWrap w:val="0"/>
            <w:vAlign w:val="top"/>
          </w:tcPr>
          <w:p w14:paraId="3C53E94E">
            <w:pPr>
              <w:keepNext w:val="0"/>
              <w:keepLines w:val="0"/>
              <w:pageBreakBefore w:val="0"/>
              <w:widowControl/>
              <w:kinsoku w:val="0"/>
              <w:wordWrap/>
              <w:overflowPunct/>
              <w:topLinePunct w:val="0"/>
              <w:autoSpaceDE w:val="0"/>
              <w:autoSpaceDN w:val="0"/>
              <w:bidi w:val="0"/>
              <w:spacing w:before="30" w:line="360" w:lineRule="auto"/>
              <w:ind w:left="408" w:right="177" w:hanging="209"/>
              <w:rPr>
                <w:rFonts w:ascii="宋体" w:hAnsi="宋体" w:eastAsia="宋体" w:cs="宋体"/>
                <w:b w:val="0"/>
                <w:bCs w:val="0"/>
                <w:sz w:val="18"/>
                <w:szCs w:val="18"/>
              </w:rPr>
            </w:pPr>
            <w:r>
              <w:rPr>
                <w:rFonts w:ascii="宋体" w:hAnsi="宋体" w:eastAsia="宋体" w:cs="宋体"/>
                <w:b w:val="0"/>
                <w:bCs w:val="0"/>
                <w:sz w:val="18"/>
                <w:szCs w:val="18"/>
              </w:rPr>
              <w:t>数智评审</w:t>
            </w:r>
            <w:r>
              <w:rPr>
                <w:rFonts w:ascii="宋体" w:hAnsi="宋体" w:eastAsia="宋体" w:cs="宋体"/>
                <w:b w:val="0"/>
                <w:bCs w:val="0"/>
                <w:spacing w:val="-5"/>
                <w:sz w:val="18"/>
                <w:szCs w:val="18"/>
              </w:rPr>
              <w:t>标准</w:t>
            </w:r>
          </w:p>
        </w:tc>
        <w:tc>
          <w:tcPr>
            <w:tcW w:w="1269" w:type="dxa"/>
            <w:noWrap w:val="0"/>
            <w:vAlign w:val="top"/>
          </w:tcPr>
          <w:p w14:paraId="7CEFD7DD">
            <w:pPr>
              <w:keepNext w:val="0"/>
              <w:keepLines w:val="0"/>
              <w:pageBreakBefore w:val="0"/>
              <w:widowControl/>
              <w:kinsoku w:val="0"/>
              <w:wordWrap/>
              <w:overflowPunct/>
              <w:topLinePunct w:val="0"/>
              <w:autoSpaceDE w:val="0"/>
              <w:autoSpaceDN w:val="0"/>
              <w:bidi w:val="0"/>
              <w:spacing w:before="30" w:line="360" w:lineRule="auto"/>
              <w:ind w:left="210"/>
              <w:rPr>
                <w:rFonts w:ascii="宋体" w:hAnsi="宋体" w:eastAsia="宋体" w:cs="宋体"/>
                <w:b w:val="0"/>
                <w:bCs w:val="0"/>
                <w:sz w:val="18"/>
                <w:szCs w:val="18"/>
              </w:rPr>
            </w:pPr>
            <w:r>
              <w:rPr>
                <w:rFonts w:ascii="宋体" w:hAnsi="宋体" w:eastAsia="宋体" w:cs="宋体"/>
                <w:b w:val="0"/>
                <w:bCs w:val="0"/>
                <w:spacing w:val="-5"/>
                <w:sz w:val="18"/>
                <w:szCs w:val="18"/>
              </w:rPr>
              <w:t>管理监督</w:t>
            </w:r>
          </w:p>
          <w:p w14:paraId="6854559B">
            <w:pPr>
              <w:keepNext w:val="0"/>
              <w:keepLines w:val="0"/>
              <w:pageBreakBefore w:val="0"/>
              <w:widowControl/>
              <w:kinsoku w:val="0"/>
              <w:wordWrap/>
              <w:overflowPunct/>
              <w:topLinePunct w:val="0"/>
              <w:autoSpaceDE w:val="0"/>
              <w:autoSpaceDN w:val="0"/>
              <w:bidi w:val="0"/>
              <w:spacing w:before="21" w:line="360" w:lineRule="auto"/>
              <w:ind w:left="420"/>
              <w:rPr>
                <w:rFonts w:ascii="宋体" w:hAnsi="宋体" w:eastAsia="宋体" w:cs="宋体"/>
                <w:b w:val="0"/>
                <w:bCs w:val="0"/>
                <w:sz w:val="18"/>
                <w:szCs w:val="18"/>
              </w:rPr>
            </w:pPr>
            <w:r>
              <w:rPr>
                <w:rFonts w:ascii="宋体" w:hAnsi="宋体" w:eastAsia="宋体" w:cs="宋体"/>
                <w:b w:val="0"/>
                <w:bCs w:val="0"/>
                <w:spacing w:val="-5"/>
                <w:sz w:val="18"/>
                <w:szCs w:val="18"/>
              </w:rPr>
              <w:t>标准</w:t>
            </w:r>
          </w:p>
        </w:tc>
        <w:tc>
          <w:tcPr>
            <w:tcW w:w="1249" w:type="dxa"/>
            <w:noWrap w:val="0"/>
            <w:vAlign w:val="top"/>
          </w:tcPr>
          <w:p w14:paraId="66E5EB19">
            <w:pPr>
              <w:keepNext w:val="0"/>
              <w:keepLines w:val="0"/>
              <w:pageBreakBefore w:val="0"/>
              <w:widowControl/>
              <w:kinsoku w:val="0"/>
              <w:wordWrap/>
              <w:overflowPunct/>
              <w:topLinePunct w:val="0"/>
              <w:autoSpaceDE w:val="0"/>
              <w:autoSpaceDN w:val="0"/>
              <w:bidi w:val="0"/>
              <w:spacing w:before="30" w:line="360" w:lineRule="auto"/>
              <w:ind w:left="316" w:right="219" w:hanging="109"/>
              <w:rPr>
                <w:rFonts w:ascii="宋体" w:hAnsi="宋体" w:eastAsia="宋体" w:cs="宋体"/>
                <w:b w:val="0"/>
                <w:bCs w:val="0"/>
                <w:spacing w:val="-4"/>
                <w:sz w:val="18"/>
                <w:szCs w:val="18"/>
              </w:rPr>
            </w:pPr>
            <w:r>
              <w:rPr>
                <w:rFonts w:ascii="宋体" w:hAnsi="宋体" w:eastAsia="宋体" w:cs="宋体"/>
                <w:b w:val="0"/>
                <w:bCs w:val="0"/>
                <w:spacing w:val="-4"/>
                <w:sz w:val="18"/>
                <w:szCs w:val="18"/>
              </w:rPr>
              <w:t>服务评价标准</w:t>
            </w:r>
          </w:p>
        </w:tc>
        <w:tc>
          <w:tcPr>
            <w:tcW w:w="1249" w:type="dxa"/>
            <w:noWrap w:val="0"/>
            <w:vAlign w:val="top"/>
          </w:tcPr>
          <w:p w14:paraId="0297466B">
            <w:pPr>
              <w:keepNext w:val="0"/>
              <w:keepLines w:val="0"/>
              <w:pageBreakBefore w:val="0"/>
              <w:widowControl/>
              <w:kinsoku w:val="0"/>
              <w:wordWrap/>
              <w:overflowPunct/>
              <w:topLinePunct w:val="0"/>
              <w:autoSpaceDE w:val="0"/>
              <w:autoSpaceDN w:val="0"/>
              <w:bidi w:val="0"/>
              <w:spacing w:before="30" w:line="360" w:lineRule="auto"/>
              <w:ind w:left="316" w:right="219" w:hanging="109"/>
              <w:rPr>
                <w:rFonts w:hint="eastAsia" w:ascii="宋体" w:hAnsi="宋体" w:eastAsia="宋体" w:cs="宋体"/>
                <w:b w:val="0"/>
                <w:bCs w:val="0"/>
                <w:spacing w:val="-4"/>
                <w:sz w:val="18"/>
                <w:szCs w:val="18"/>
                <w:lang w:val="en-US" w:eastAsia="zh-CN"/>
              </w:rPr>
            </w:pPr>
            <w:r>
              <w:rPr>
                <w:rFonts w:hint="eastAsia" w:ascii="宋体" w:hAnsi="宋体" w:eastAsia="宋体" w:cs="宋体"/>
                <w:b w:val="0"/>
                <w:bCs w:val="0"/>
                <w:spacing w:val="-4"/>
                <w:sz w:val="18"/>
                <w:szCs w:val="18"/>
                <w:lang w:val="en-US" w:eastAsia="zh-CN"/>
              </w:rPr>
              <w:t>合计</w:t>
            </w:r>
          </w:p>
        </w:tc>
      </w:tr>
      <w:tr w14:paraId="4EA04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trPr>
        <w:tc>
          <w:tcPr>
            <w:tcW w:w="1144" w:type="dxa"/>
            <w:noWrap w:val="0"/>
            <w:vAlign w:val="top"/>
          </w:tcPr>
          <w:p w14:paraId="607843AD">
            <w:pPr>
              <w:keepNext w:val="0"/>
              <w:keepLines w:val="0"/>
              <w:pageBreakBefore w:val="0"/>
              <w:widowControl/>
              <w:kinsoku w:val="0"/>
              <w:wordWrap/>
              <w:overflowPunct/>
              <w:topLinePunct w:val="0"/>
              <w:autoSpaceDE w:val="0"/>
              <w:autoSpaceDN w:val="0"/>
              <w:bidi w:val="0"/>
              <w:spacing w:before="180" w:line="360" w:lineRule="auto"/>
              <w:ind w:left="145"/>
              <w:rPr>
                <w:rFonts w:ascii="宋体" w:hAnsi="宋体" w:eastAsia="宋体" w:cs="宋体"/>
                <w:sz w:val="18"/>
                <w:szCs w:val="18"/>
              </w:rPr>
            </w:pPr>
            <w:r>
              <w:rPr>
                <w:rFonts w:ascii="宋体" w:hAnsi="宋体" w:eastAsia="宋体" w:cs="宋体"/>
                <w:spacing w:val="2"/>
                <w:sz w:val="18"/>
                <w:szCs w:val="18"/>
              </w:rPr>
              <w:t>国家标准</w:t>
            </w:r>
          </w:p>
        </w:tc>
        <w:tc>
          <w:tcPr>
            <w:tcW w:w="1269" w:type="dxa"/>
            <w:noWrap w:val="0"/>
            <w:vAlign w:val="top"/>
          </w:tcPr>
          <w:p w14:paraId="45ADDBD1">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02E6FD0C">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3E44A918">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185D431F">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0AFA9A34">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3CE710D3">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166395C4">
            <w:pPr>
              <w:pStyle w:val="8"/>
              <w:keepNext w:val="0"/>
              <w:keepLines w:val="0"/>
              <w:pageBreakBefore w:val="0"/>
              <w:widowControl/>
              <w:kinsoku w:val="0"/>
              <w:wordWrap/>
              <w:overflowPunct/>
              <w:topLinePunct w:val="0"/>
              <w:autoSpaceDE w:val="0"/>
              <w:autoSpaceDN w:val="0"/>
              <w:bidi w:val="0"/>
              <w:spacing w:line="360" w:lineRule="auto"/>
            </w:pPr>
          </w:p>
        </w:tc>
      </w:tr>
      <w:tr w14:paraId="4B50B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144" w:type="dxa"/>
            <w:noWrap w:val="0"/>
            <w:vAlign w:val="top"/>
          </w:tcPr>
          <w:p w14:paraId="70A15293">
            <w:pPr>
              <w:keepNext w:val="0"/>
              <w:keepLines w:val="0"/>
              <w:pageBreakBefore w:val="0"/>
              <w:widowControl/>
              <w:kinsoku w:val="0"/>
              <w:wordWrap/>
              <w:overflowPunct/>
              <w:topLinePunct w:val="0"/>
              <w:autoSpaceDE w:val="0"/>
              <w:autoSpaceDN w:val="0"/>
              <w:bidi w:val="0"/>
              <w:spacing w:before="182" w:line="360" w:lineRule="auto"/>
              <w:ind w:left="145"/>
              <w:rPr>
                <w:rFonts w:ascii="宋体" w:hAnsi="宋体" w:eastAsia="宋体" w:cs="宋体"/>
                <w:sz w:val="18"/>
                <w:szCs w:val="18"/>
              </w:rPr>
            </w:pPr>
            <w:r>
              <w:rPr>
                <w:rFonts w:ascii="宋体" w:hAnsi="宋体" w:eastAsia="宋体" w:cs="宋体"/>
                <w:spacing w:val="2"/>
                <w:sz w:val="18"/>
                <w:szCs w:val="18"/>
              </w:rPr>
              <w:t>行业标准</w:t>
            </w:r>
          </w:p>
        </w:tc>
        <w:tc>
          <w:tcPr>
            <w:tcW w:w="1269" w:type="dxa"/>
            <w:noWrap w:val="0"/>
            <w:vAlign w:val="top"/>
          </w:tcPr>
          <w:p w14:paraId="73763CDE">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1D6F9BE6">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71C3294E">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46A0D3EB">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5DD48B3D">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588D7254">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38A66DE3">
            <w:pPr>
              <w:pStyle w:val="8"/>
              <w:keepNext w:val="0"/>
              <w:keepLines w:val="0"/>
              <w:pageBreakBefore w:val="0"/>
              <w:widowControl/>
              <w:kinsoku w:val="0"/>
              <w:wordWrap/>
              <w:overflowPunct/>
              <w:topLinePunct w:val="0"/>
              <w:autoSpaceDE w:val="0"/>
              <w:autoSpaceDN w:val="0"/>
              <w:bidi w:val="0"/>
              <w:spacing w:line="360" w:lineRule="auto"/>
            </w:pPr>
          </w:p>
        </w:tc>
      </w:tr>
      <w:tr w14:paraId="52F4D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144" w:type="dxa"/>
            <w:noWrap w:val="0"/>
            <w:vAlign w:val="top"/>
          </w:tcPr>
          <w:p w14:paraId="2D525AC0">
            <w:pPr>
              <w:keepNext w:val="0"/>
              <w:keepLines w:val="0"/>
              <w:pageBreakBefore w:val="0"/>
              <w:widowControl/>
              <w:kinsoku w:val="0"/>
              <w:wordWrap/>
              <w:overflowPunct/>
              <w:topLinePunct w:val="0"/>
              <w:autoSpaceDE w:val="0"/>
              <w:autoSpaceDN w:val="0"/>
              <w:bidi w:val="0"/>
              <w:spacing w:before="183" w:line="360" w:lineRule="auto"/>
              <w:ind w:left="145"/>
              <w:rPr>
                <w:rFonts w:ascii="宋体" w:hAnsi="宋体" w:eastAsia="宋体" w:cs="宋体"/>
                <w:sz w:val="18"/>
                <w:szCs w:val="18"/>
              </w:rPr>
            </w:pPr>
            <w:r>
              <w:rPr>
                <w:rFonts w:ascii="宋体" w:hAnsi="宋体" w:eastAsia="宋体" w:cs="宋体"/>
                <w:spacing w:val="-2"/>
                <w:sz w:val="18"/>
                <w:szCs w:val="18"/>
              </w:rPr>
              <w:t>地方标准</w:t>
            </w:r>
          </w:p>
        </w:tc>
        <w:tc>
          <w:tcPr>
            <w:tcW w:w="1269" w:type="dxa"/>
            <w:noWrap w:val="0"/>
            <w:vAlign w:val="top"/>
          </w:tcPr>
          <w:p w14:paraId="399F5C31">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230F7711">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42155A2B">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137982C1">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39C74E20">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7333ECBC">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3D41B42D">
            <w:pPr>
              <w:pStyle w:val="8"/>
              <w:keepNext w:val="0"/>
              <w:keepLines w:val="0"/>
              <w:pageBreakBefore w:val="0"/>
              <w:widowControl/>
              <w:kinsoku w:val="0"/>
              <w:wordWrap/>
              <w:overflowPunct/>
              <w:topLinePunct w:val="0"/>
              <w:autoSpaceDE w:val="0"/>
              <w:autoSpaceDN w:val="0"/>
              <w:bidi w:val="0"/>
              <w:spacing w:line="360" w:lineRule="auto"/>
            </w:pPr>
          </w:p>
        </w:tc>
      </w:tr>
      <w:tr w14:paraId="4D367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144" w:type="dxa"/>
            <w:noWrap w:val="0"/>
            <w:vAlign w:val="top"/>
          </w:tcPr>
          <w:p w14:paraId="600A740E">
            <w:pPr>
              <w:keepNext w:val="0"/>
              <w:keepLines w:val="0"/>
              <w:pageBreakBefore w:val="0"/>
              <w:widowControl/>
              <w:kinsoku w:val="0"/>
              <w:wordWrap/>
              <w:overflowPunct/>
              <w:topLinePunct w:val="0"/>
              <w:autoSpaceDE w:val="0"/>
              <w:autoSpaceDN w:val="0"/>
              <w:bidi w:val="0"/>
              <w:spacing w:before="173" w:line="360" w:lineRule="auto"/>
              <w:ind w:left="145"/>
              <w:rPr>
                <w:rFonts w:ascii="宋体" w:hAnsi="宋体" w:eastAsia="宋体" w:cs="宋体"/>
                <w:sz w:val="18"/>
                <w:szCs w:val="18"/>
              </w:rPr>
            </w:pPr>
            <w:r>
              <w:rPr>
                <w:rFonts w:ascii="宋体" w:hAnsi="宋体" w:eastAsia="宋体" w:cs="宋体"/>
                <w:spacing w:val="-2"/>
                <w:sz w:val="18"/>
                <w:szCs w:val="18"/>
              </w:rPr>
              <w:t>地方文件</w:t>
            </w:r>
          </w:p>
        </w:tc>
        <w:tc>
          <w:tcPr>
            <w:tcW w:w="1269" w:type="dxa"/>
            <w:noWrap w:val="0"/>
            <w:vAlign w:val="top"/>
          </w:tcPr>
          <w:p w14:paraId="635925CD">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34ED328F">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57818C91">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7E03EDB6">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66625474">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09A9B695">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7F401BF9">
            <w:pPr>
              <w:pStyle w:val="8"/>
              <w:keepNext w:val="0"/>
              <w:keepLines w:val="0"/>
              <w:pageBreakBefore w:val="0"/>
              <w:widowControl/>
              <w:kinsoku w:val="0"/>
              <w:wordWrap/>
              <w:overflowPunct/>
              <w:topLinePunct w:val="0"/>
              <w:autoSpaceDE w:val="0"/>
              <w:autoSpaceDN w:val="0"/>
              <w:bidi w:val="0"/>
              <w:spacing w:line="360" w:lineRule="auto"/>
            </w:pPr>
          </w:p>
        </w:tc>
      </w:tr>
      <w:tr w14:paraId="7CE74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144" w:type="dxa"/>
            <w:noWrap w:val="0"/>
            <w:vAlign w:val="top"/>
          </w:tcPr>
          <w:p w14:paraId="08E72D16">
            <w:pPr>
              <w:keepNext w:val="0"/>
              <w:keepLines w:val="0"/>
              <w:pageBreakBefore w:val="0"/>
              <w:widowControl/>
              <w:kinsoku w:val="0"/>
              <w:wordWrap/>
              <w:overflowPunct/>
              <w:topLinePunct w:val="0"/>
              <w:autoSpaceDE w:val="0"/>
              <w:autoSpaceDN w:val="0"/>
              <w:bidi w:val="0"/>
              <w:spacing w:before="185" w:line="360" w:lineRule="auto"/>
              <w:ind w:left="145"/>
              <w:rPr>
                <w:rFonts w:ascii="宋体" w:hAnsi="宋体" w:eastAsia="宋体" w:cs="宋体"/>
                <w:sz w:val="18"/>
                <w:szCs w:val="18"/>
              </w:rPr>
            </w:pPr>
            <w:r>
              <w:rPr>
                <w:rFonts w:ascii="宋体" w:hAnsi="宋体" w:eastAsia="宋体" w:cs="宋体"/>
                <w:spacing w:val="2"/>
                <w:sz w:val="18"/>
                <w:szCs w:val="18"/>
              </w:rPr>
              <w:t>团体标准</w:t>
            </w:r>
          </w:p>
        </w:tc>
        <w:tc>
          <w:tcPr>
            <w:tcW w:w="1269" w:type="dxa"/>
            <w:noWrap w:val="0"/>
            <w:vAlign w:val="top"/>
          </w:tcPr>
          <w:p w14:paraId="1EAD38A9">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034A2E22">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53DC54C2">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30C089FB">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40600FA2">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2C056F7C">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6063F9C4">
            <w:pPr>
              <w:pStyle w:val="8"/>
              <w:keepNext w:val="0"/>
              <w:keepLines w:val="0"/>
              <w:pageBreakBefore w:val="0"/>
              <w:widowControl/>
              <w:kinsoku w:val="0"/>
              <w:wordWrap/>
              <w:overflowPunct/>
              <w:topLinePunct w:val="0"/>
              <w:autoSpaceDE w:val="0"/>
              <w:autoSpaceDN w:val="0"/>
              <w:bidi w:val="0"/>
              <w:spacing w:line="360" w:lineRule="auto"/>
            </w:pPr>
          </w:p>
        </w:tc>
      </w:tr>
      <w:tr w14:paraId="29722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8" w:hRule="atLeast"/>
        </w:trPr>
        <w:tc>
          <w:tcPr>
            <w:tcW w:w="1144" w:type="dxa"/>
            <w:noWrap w:val="0"/>
            <w:vAlign w:val="top"/>
          </w:tcPr>
          <w:p w14:paraId="22CF6A9C">
            <w:pPr>
              <w:keepNext w:val="0"/>
              <w:keepLines w:val="0"/>
              <w:pageBreakBefore w:val="0"/>
              <w:widowControl/>
              <w:kinsoku w:val="0"/>
              <w:wordWrap/>
              <w:overflowPunct/>
              <w:topLinePunct w:val="0"/>
              <w:autoSpaceDE w:val="0"/>
              <w:autoSpaceDN w:val="0"/>
              <w:bidi w:val="0"/>
              <w:spacing w:before="196" w:line="360" w:lineRule="auto"/>
              <w:ind w:left="145"/>
              <w:rPr>
                <w:rFonts w:ascii="宋体" w:hAnsi="宋体" w:eastAsia="宋体" w:cs="宋体"/>
                <w:sz w:val="18"/>
                <w:szCs w:val="18"/>
              </w:rPr>
            </w:pPr>
            <w:r>
              <w:rPr>
                <w:rFonts w:ascii="宋体" w:hAnsi="宋体" w:eastAsia="宋体" w:cs="宋体"/>
                <w:spacing w:val="2"/>
                <w:sz w:val="18"/>
                <w:szCs w:val="18"/>
              </w:rPr>
              <w:t>企业标准</w:t>
            </w:r>
          </w:p>
        </w:tc>
        <w:tc>
          <w:tcPr>
            <w:tcW w:w="1269" w:type="dxa"/>
            <w:noWrap w:val="0"/>
            <w:vAlign w:val="top"/>
          </w:tcPr>
          <w:p w14:paraId="20AD668D">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20719071">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533F00E0">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5BE6FF75">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2104A6AC">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13C8D0D0">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24CF7739">
            <w:pPr>
              <w:pStyle w:val="8"/>
              <w:keepNext w:val="0"/>
              <w:keepLines w:val="0"/>
              <w:pageBreakBefore w:val="0"/>
              <w:widowControl/>
              <w:kinsoku w:val="0"/>
              <w:wordWrap/>
              <w:overflowPunct/>
              <w:topLinePunct w:val="0"/>
              <w:autoSpaceDE w:val="0"/>
              <w:autoSpaceDN w:val="0"/>
              <w:bidi w:val="0"/>
              <w:spacing w:line="360" w:lineRule="auto"/>
            </w:pPr>
          </w:p>
        </w:tc>
      </w:tr>
      <w:tr w14:paraId="01E02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3" w:hRule="atLeast"/>
        </w:trPr>
        <w:tc>
          <w:tcPr>
            <w:tcW w:w="1144" w:type="dxa"/>
            <w:noWrap w:val="0"/>
            <w:vAlign w:val="top"/>
          </w:tcPr>
          <w:p w14:paraId="0B369658">
            <w:pPr>
              <w:keepNext w:val="0"/>
              <w:keepLines w:val="0"/>
              <w:pageBreakBefore w:val="0"/>
              <w:widowControl/>
              <w:kinsoku w:val="0"/>
              <w:wordWrap/>
              <w:overflowPunct/>
              <w:topLinePunct w:val="0"/>
              <w:autoSpaceDE w:val="0"/>
              <w:autoSpaceDN w:val="0"/>
              <w:bidi w:val="0"/>
              <w:spacing w:before="196" w:line="360" w:lineRule="auto"/>
              <w:ind w:left="145"/>
              <w:rPr>
                <w:rFonts w:ascii="宋体" w:hAnsi="宋体" w:eastAsia="宋体" w:cs="宋体"/>
                <w:sz w:val="18"/>
                <w:szCs w:val="18"/>
              </w:rPr>
            </w:pPr>
            <w:r>
              <w:rPr>
                <w:rFonts w:ascii="宋体" w:hAnsi="宋体" w:eastAsia="宋体" w:cs="宋体"/>
                <w:spacing w:val="2"/>
                <w:sz w:val="18"/>
                <w:szCs w:val="18"/>
              </w:rPr>
              <w:t>合计</w:t>
            </w:r>
          </w:p>
        </w:tc>
        <w:tc>
          <w:tcPr>
            <w:tcW w:w="1269" w:type="dxa"/>
            <w:noWrap w:val="0"/>
            <w:vAlign w:val="top"/>
          </w:tcPr>
          <w:p w14:paraId="32C9D884">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7DB8232C">
            <w:pPr>
              <w:pStyle w:val="8"/>
              <w:keepNext w:val="0"/>
              <w:keepLines w:val="0"/>
              <w:pageBreakBefore w:val="0"/>
              <w:widowControl/>
              <w:kinsoku w:val="0"/>
              <w:wordWrap/>
              <w:overflowPunct/>
              <w:topLinePunct w:val="0"/>
              <w:autoSpaceDE w:val="0"/>
              <w:autoSpaceDN w:val="0"/>
              <w:bidi w:val="0"/>
              <w:spacing w:line="360" w:lineRule="auto"/>
            </w:pPr>
          </w:p>
        </w:tc>
        <w:tc>
          <w:tcPr>
            <w:tcW w:w="1478" w:type="dxa"/>
            <w:noWrap w:val="0"/>
            <w:vAlign w:val="top"/>
          </w:tcPr>
          <w:p w14:paraId="27789767">
            <w:pPr>
              <w:pStyle w:val="8"/>
              <w:keepNext w:val="0"/>
              <w:keepLines w:val="0"/>
              <w:pageBreakBefore w:val="0"/>
              <w:widowControl/>
              <w:kinsoku w:val="0"/>
              <w:wordWrap/>
              <w:overflowPunct/>
              <w:topLinePunct w:val="0"/>
              <w:autoSpaceDE w:val="0"/>
              <w:autoSpaceDN w:val="0"/>
              <w:bidi w:val="0"/>
              <w:spacing w:line="360" w:lineRule="auto"/>
            </w:pPr>
          </w:p>
        </w:tc>
        <w:tc>
          <w:tcPr>
            <w:tcW w:w="1239" w:type="dxa"/>
            <w:noWrap w:val="0"/>
            <w:vAlign w:val="top"/>
          </w:tcPr>
          <w:p w14:paraId="6661D4D7">
            <w:pPr>
              <w:pStyle w:val="8"/>
              <w:keepNext w:val="0"/>
              <w:keepLines w:val="0"/>
              <w:pageBreakBefore w:val="0"/>
              <w:widowControl/>
              <w:kinsoku w:val="0"/>
              <w:wordWrap/>
              <w:overflowPunct/>
              <w:topLinePunct w:val="0"/>
              <w:autoSpaceDE w:val="0"/>
              <w:autoSpaceDN w:val="0"/>
              <w:bidi w:val="0"/>
              <w:spacing w:line="360" w:lineRule="auto"/>
            </w:pPr>
          </w:p>
        </w:tc>
        <w:tc>
          <w:tcPr>
            <w:tcW w:w="1269" w:type="dxa"/>
            <w:noWrap w:val="0"/>
            <w:vAlign w:val="top"/>
          </w:tcPr>
          <w:p w14:paraId="3811230F">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43F52F9A">
            <w:pPr>
              <w:pStyle w:val="8"/>
              <w:keepNext w:val="0"/>
              <w:keepLines w:val="0"/>
              <w:pageBreakBefore w:val="0"/>
              <w:widowControl/>
              <w:kinsoku w:val="0"/>
              <w:wordWrap/>
              <w:overflowPunct/>
              <w:topLinePunct w:val="0"/>
              <w:autoSpaceDE w:val="0"/>
              <w:autoSpaceDN w:val="0"/>
              <w:bidi w:val="0"/>
              <w:spacing w:line="360" w:lineRule="auto"/>
            </w:pPr>
          </w:p>
        </w:tc>
        <w:tc>
          <w:tcPr>
            <w:tcW w:w="1249" w:type="dxa"/>
            <w:noWrap w:val="0"/>
            <w:vAlign w:val="top"/>
          </w:tcPr>
          <w:p w14:paraId="003409E3">
            <w:pPr>
              <w:pStyle w:val="8"/>
              <w:keepNext w:val="0"/>
              <w:keepLines w:val="0"/>
              <w:pageBreakBefore w:val="0"/>
              <w:widowControl/>
              <w:kinsoku w:val="0"/>
              <w:wordWrap/>
              <w:overflowPunct/>
              <w:topLinePunct w:val="0"/>
              <w:autoSpaceDE w:val="0"/>
              <w:autoSpaceDN w:val="0"/>
              <w:bidi w:val="0"/>
              <w:spacing w:line="360" w:lineRule="auto"/>
            </w:pPr>
          </w:p>
        </w:tc>
      </w:tr>
    </w:tbl>
    <w:p w14:paraId="4281C9AA">
      <w:pPr>
        <w:keepNext w:val="0"/>
        <w:keepLines w:val="0"/>
        <w:pageBreakBefore w:val="0"/>
        <w:widowControl/>
        <w:kinsoku w:val="0"/>
        <w:wordWrap/>
        <w:overflowPunct/>
        <w:topLinePunct w:val="0"/>
        <w:autoSpaceDE w:val="0"/>
        <w:autoSpaceDN w:val="0"/>
        <w:bidi w:val="0"/>
        <w:spacing w:line="360" w:lineRule="auto"/>
        <w:sectPr>
          <w:footerReference r:id="rId11" w:type="default"/>
          <w:pgSz w:w="11900" w:h="16832"/>
          <w:pgMar w:top="1134" w:right="1134" w:bottom="2154" w:left="850" w:header="0" w:footer="1128" w:gutter="0"/>
          <w:paperSrc/>
          <w:pgNumType w:fmt="decimal"/>
          <w:cols w:space="720" w:num="1"/>
          <w:rtlGutter w:val="0"/>
          <w:docGrid w:linePitch="0" w:charSpace="0"/>
        </w:sectPr>
      </w:pPr>
    </w:p>
    <w:p w14:paraId="20AF0E44">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bookmarkStart w:id="59" w:name="bookmark43"/>
      <w:bookmarkEnd w:id="59"/>
      <w:r>
        <w:rPr>
          <w:rFonts w:hint="eastAsia" w:ascii="宋体" w:hAnsi="宋体" w:eastAsia="宋体" w:cs="宋体"/>
          <w:b w:val="0"/>
          <w:bCs w:val="0"/>
          <w:spacing w:val="-9"/>
          <w:sz w:val="21"/>
          <w:szCs w:val="21"/>
          <w:lang w:eastAsia="zh-CN"/>
        </w:rPr>
        <w:t>T/XXXX-2025</w:t>
      </w:r>
    </w:p>
    <w:p w14:paraId="159ED2E3">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附 录 C (资料性) 标准明细表</w:t>
      </w:r>
    </w:p>
    <w:p w14:paraId="46F91EAB">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18"/>
          <w:szCs w:val="18"/>
          <w:lang w:val="en-US" w:eastAsia="zh-CN"/>
        </w:rPr>
      </w:pPr>
      <w:r>
        <w:rPr>
          <w:rFonts w:hint="eastAsia" w:ascii="黑体" w:hAnsi="黑体" w:eastAsia="黑体" w:cs="黑体"/>
          <w:b w:val="0"/>
          <w:bCs w:val="0"/>
          <w:spacing w:val="-12"/>
          <w:sz w:val="18"/>
          <w:szCs w:val="18"/>
          <w:lang w:val="en-US" w:eastAsia="zh-CN"/>
        </w:rPr>
        <w:t>表C.1基础标准子体系标准明细表</w:t>
      </w:r>
    </w:p>
    <w:p w14:paraId="0467FDA2">
      <w:pPr>
        <w:keepNext w:val="0"/>
        <w:keepLines w:val="0"/>
        <w:pageBreakBefore w:val="0"/>
        <w:widowControl/>
        <w:kinsoku w:val="0"/>
        <w:wordWrap/>
        <w:overflowPunct/>
        <w:topLinePunct w:val="0"/>
        <w:autoSpaceDE w:val="0"/>
        <w:autoSpaceDN w:val="0"/>
        <w:bidi w:val="0"/>
        <w:spacing w:line="360" w:lineRule="auto"/>
      </w:pPr>
    </w:p>
    <w:tbl>
      <w:tblPr>
        <w:tblStyle w:val="7"/>
        <w:tblW w:w="143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1479"/>
        <w:gridCol w:w="1596"/>
        <w:gridCol w:w="1774"/>
        <w:gridCol w:w="1453"/>
        <w:gridCol w:w="1429"/>
        <w:gridCol w:w="1479"/>
        <w:gridCol w:w="2101"/>
        <w:gridCol w:w="1092"/>
        <w:gridCol w:w="1328"/>
      </w:tblGrid>
      <w:tr w14:paraId="52BE2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4" w:hRule="atLeast"/>
        </w:trPr>
        <w:tc>
          <w:tcPr>
            <w:tcW w:w="647" w:type="dxa"/>
            <w:noWrap w:val="0"/>
            <w:vAlign w:val="top"/>
          </w:tcPr>
          <w:p w14:paraId="47FDEDD1">
            <w:pPr>
              <w:keepNext w:val="0"/>
              <w:keepLines w:val="0"/>
              <w:pageBreakBefore w:val="0"/>
              <w:widowControl/>
              <w:kinsoku w:val="0"/>
              <w:wordWrap/>
              <w:overflowPunct/>
              <w:topLinePunct w:val="0"/>
              <w:autoSpaceDE w:val="0"/>
              <w:autoSpaceDN w:val="0"/>
              <w:bidi w:val="0"/>
              <w:spacing w:before="160" w:line="360" w:lineRule="auto"/>
              <w:ind w:left="113"/>
              <w:jc w:val="both"/>
              <w:rPr>
                <w:rFonts w:hint="eastAsia" w:ascii="宋体" w:hAnsi="宋体" w:eastAsia="宋体" w:cs="宋体"/>
                <w:b w:val="0"/>
                <w:bCs w:val="0"/>
                <w:spacing w:val="-4"/>
                <w:sz w:val="18"/>
                <w:szCs w:val="18"/>
                <w:lang w:val="en-US" w:eastAsia="zh-CN"/>
              </w:rPr>
            </w:pPr>
            <w:r>
              <w:rPr>
                <w:rFonts w:hint="eastAsia" w:ascii="宋体" w:hAnsi="宋体" w:eastAsia="宋体" w:cs="宋体"/>
                <w:b w:val="0"/>
                <w:bCs w:val="0"/>
                <w:spacing w:val="-4"/>
                <w:sz w:val="18"/>
                <w:szCs w:val="18"/>
                <w:lang w:val="en-US" w:eastAsia="zh-CN"/>
              </w:rPr>
              <w:t>序号</w:t>
            </w:r>
          </w:p>
        </w:tc>
        <w:tc>
          <w:tcPr>
            <w:tcW w:w="1479" w:type="dxa"/>
            <w:noWrap w:val="0"/>
            <w:vAlign w:val="top"/>
          </w:tcPr>
          <w:p w14:paraId="407DC15B">
            <w:pPr>
              <w:keepNext w:val="0"/>
              <w:keepLines w:val="0"/>
              <w:pageBreakBefore w:val="0"/>
              <w:widowControl/>
              <w:kinsoku w:val="0"/>
              <w:wordWrap/>
              <w:overflowPunct/>
              <w:topLinePunct w:val="0"/>
              <w:autoSpaceDE w:val="0"/>
              <w:autoSpaceDN w:val="0"/>
              <w:bidi w:val="0"/>
              <w:spacing w:before="161" w:line="360" w:lineRule="auto"/>
              <w:jc w:val="both"/>
              <w:rPr>
                <w:rFonts w:ascii="宋体" w:hAnsi="宋体" w:eastAsia="宋体" w:cs="宋体"/>
                <w:b w:val="0"/>
                <w:bCs w:val="0"/>
                <w:snapToGrid w:val="0"/>
                <w:color w:val="000000"/>
                <w:kern w:val="0"/>
                <w:sz w:val="18"/>
                <w:szCs w:val="18"/>
                <w:lang w:val="en-US" w:eastAsia="en-US" w:bidi="ar-SA"/>
              </w:rPr>
            </w:pPr>
            <w:r>
              <w:rPr>
                <w:rFonts w:ascii="宋体" w:hAnsi="宋体" w:eastAsia="宋体" w:cs="宋体"/>
                <w:b w:val="0"/>
                <w:bCs w:val="0"/>
                <w:spacing w:val="-4"/>
                <w:sz w:val="18"/>
                <w:szCs w:val="18"/>
              </w:rPr>
              <w:t>子体系名称</w:t>
            </w:r>
          </w:p>
        </w:tc>
        <w:tc>
          <w:tcPr>
            <w:tcW w:w="1596" w:type="dxa"/>
            <w:noWrap w:val="0"/>
            <w:vAlign w:val="top"/>
          </w:tcPr>
          <w:p w14:paraId="6BFF5CA6">
            <w:pPr>
              <w:keepNext w:val="0"/>
              <w:keepLines w:val="0"/>
              <w:pageBreakBefore w:val="0"/>
              <w:widowControl/>
              <w:kinsoku w:val="0"/>
              <w:wordWrap/>
              <w:overflowPunct/>
              <w:topLinePunct w:val="0"/>
              <w:autoSpaceDE w:val="0"/>
              <w:autoSpaceDN w:val="0"/>
              <w:bidi w:val="0"/>
              <w:spacing w:before="160" w:line="360" w:lineRule="auto"/>
              <w:ind w:left="113"/>
              <w:jc w:val="both"/>
              <w:rPr>
                <w:rFonts w:ascii="宋体" w:hAnsi="宋体" w:eastAsia="宋体" w:cs="宋体"/>
                <w:b w:val="0"/>
                <w:bCs w:val="0"/>
                <w:sz w:val="18"/>
                <w:szCs w:val="18"/>
              </w:rPr>
            </w:pPr>
            <w:r>
              <w:rPr>
                <w:rFonts w:ascii="宋体" w:hAnsi="宋体" w:eastAsia="宋体" w:cs="宋体"/>
                <w:b w:val="0"/>
                <w:bCs w:val="0"/>
                <w:spacing w:val="-4"/>
                <w:sz w:val="18"/>
                <w:szCs w:val="18"/>
              </w:rPr>
              <w:t>标准体系编号</w:t>
            </w:r>
          </w:p>
        </w:tc>
        <w:tc>
          <w:tcPr>
            <w:tcW w:w="1774" w:type="dxa"/>
            <w:noWrap w:val="0"/>
            <w:vAlign w:val="top"/>
          </w:tcPr>
          <w:p w14:paraId="33C7EAEB">
            <w:pPr>
              <w:keepNext w:val="0"/>
              <w:keepLines w:val="0"/>
              <w:pageBreakBefore w:val="0"/>
              <w:widowControl/>
              <w:kinsoku w:val="0"/>
              <w:wordWrap/>
              <w:overflowPunct/>
              <w:topLinePunct w:val="0"/>
              <w:autoSpaceDE w:val="0"/>
              <w:autoSpaceDN w:val="0"/>
              <w:bidi w:val="0"/>
              <w:spacing w:before="161" w:line="360" w:lineRule="auto"/>
              <w:ind w:left="105"/>
              <w:jc w:val="both"/>
              <w:rPr>
                <w:rFonts w:ascii="宋体" w:hAnsi="宋体" w:eastAsia="宋体" w:cs="宋体"/>
                <w:b w:val="0"/>
                <w:bCs w:val="0"/>
                <w:sz w:val="18"/>
                <w:szCs w:val="18"/>
              </w:rPr>
            </w:pPr>
            <w:r>
              <w:rPr>
                <w:rFonts w:ascii="宋体" w:hAnsi="宋体" w:eastAsia="宋体" w:cs="宋体"/>
                <w:b w:val="0"/>
                <w:bCs w:val="0"/>
                <w:spacing w:val="-4"/>
                <w:sz w:val="18"/>
                <w:szCs w:val="18"/>
              </w:rPr>
              <w:t>标准名称</w:t>
            </w:r>
          </w:p>
        </w:tc>
        <w:tc>
          <w:tcPr>
            <w:tcW w:w="1453" w:type="dxa"/>
            <w:noWrap w:val="0"/>
            <w:vAlign w:val="top"/>
          </w:tcPr>
          <w:p w14:paraId="6BDF8645">
            <w:pPr>
              <w:keepNext w:val="0"/>
              <w:keepLines w:val="0"/>
              <w:pageBreakBefore w:val="0"/>
              <w:widowControl/>
              <w:kinsoku w:val="0"/>
              <w:wordWrap/>
              <w:overflowPunct/>
              <w:topLinePunct w:val="0"/>
              <w:autoSpaceDE w:val="0"/>
              <w:autoSpaceDN w:val="0"/>
              <w:bidi w:val="0"/>
              <w:spacing w:before="159" w:line="360" w:lineRule="auto"/>
              <w:ind w:left="106"/>
              <w:jc w:val="both"/>
              <w:rPr>
                <w:rFonts w:ascii="宋体" w:hAnsi="宋体" w:eastAsia="宋体" w:cs="宋体"/>
                <w:b w:val="0"/>
                <w:bCs w:val="0"/>
                <w:sz w:val="18"/>
                <w:szCs w:val="18"/>
              </w:rPr>
            </w:pPr>
            <w:r>
              <w:rPr>
                <w:rFonts w:ascii="宋体" w:hAnsi="宋体" w:eastAsia="宋体" w:cs="宋体"/>
                <w:b w:val="0"/>
                <w:bCs w:val="0"/>
                <w:spacing w:val="-5"/>
                <w:sz w:val="18"/>
                <w:szCs w:val="18"/>
              </w:rPr>
              <w:t>发布日期</w:t>
            </w:r>
          </w:p>
        </w:tc>
        <w:tc>
          <w:tcPr>
            <w:tcW w:w="1429" w:type="dxa"/>
            <w:noWrap w:val="0"/>
            <w:vAlign w:val="top"/>
          </w:tcPr>
          <w:p w14:paraId="54A17A3C">
            <w:pPr>
              <w:keepNext w:val="0"/>
              <w:keepLines w:val="0"/>
              <w:pageBreakBefore w:val="0"/>
              <w:widowControl/>
              <w:kinsoku w:val="0"/>
              <w:wordWrap/>
              <w:overflowPunct/>
              <w:topLinePunct w:val="0"/>
              <w:autoSpaceDE w:val="0"/>
              <w:autoSpaceDN w:val="0"/>
              <w:bidi w:val="0"/>
              <w:spacing w:before="161" w:line="360" w:lineRule="auto"/>
              <w:ind w:left="96"/>
              <w:jc w:val="both"/>
              <w:rPr>
                <w:rFonts w:ascii="宋体" w:hAnsi="宋体" w:eastAsia="宋体" w:cs="宋体"/>
                <w:b w:val="0"/>
                <w:bCs w:val="0"/>
                <w:sz w:val="18"/>
                <w:szCs w:val="18"/>
              </w:rPr>
            </w:pPr>
            <w:r>
              <w:rPr>
                <w:rFonts w:ascii="宋体" w:hAnsi="宋体" w:eastAsia="宋体" w:cs="宋体"/>
                <w:b w:val="0"/>
                <w:bCs w:val="0"/>
                <w:spacing w:val="-1"/>
                <w:sz w:val="18"/>
                <w:szCs w:val="18"/>
              </w:rPr>
              <w:t>实施日期</w:t>
            </w:r>
          </w:p>
        </w:tc>
        <w:tc>
          <w:tcPr>
            <w:tcW w:w="1479" w:type="dxa"/>
            <w:noWrap w:val="0"/>
            <w:vAlign w:val="top"/>
          </w:tcPr>
          <w:p w14:paraId="15E03F59">
            <w:pPr>
              <w:keepNext w:val="0"/>
              <w:keepLines w:val="0"/>
              <w:pageBreakBefore w:val="0"/>
              <w:widowControl/>
              <w:kinsoku w:val="0"/>
              <w:wordWrap/>
              <w:overflowPunct/>
              <w:topLinePunct w:val="0"/>
              <w:autoSpaceDE w:val="0"/>
              <w:autoSpaceDN w:val="0"/>
              <w:bidi w:val="0"/>
              <w:spacing w:before="160" w:line="360" w:lineRule="auto"/>
              <w:ind w:left="117"/>
              <w:jc w:val="both"/>
              <w:rPr>
                <w:rFonts w:ascii="宋体" w:hAnsi="宋体" w:eastAsia="宋体" w:cs="宋体"/>
                <w:b w:val="0"/>
                <w:bCs w:val="0"/>
                <w:sz w:val="18"/>
                <w:szCs w:val="18"/>
              </w:rPr>
            </w:pPr>
            <w:r>
              <w:rPr>
                <w:rFonts w:ascii="宋体" w:hAnsi="宋体" w:eastAsia="宋体" w:cs="宋体"/>
                <w:b w:val="0"/>
                <w:bCs w:val="0"/>
                <w:spacing w:val="2"/>
                <w:sz w:val="18"/>
                <w:szCs w:val="18"/>
              </w:rPr>
              <w:t>主管部门</w:t>
            </w:r>
          </w:p>
        </w:tc>
        <w:tc>
          <w:tcPr>
            <w:tcW w:w="2101" w:type="dxa"/>
            <w:noWrap w:val="0"/>
            <w:vAlign w:val="top"/>
          </w:tcPr>
          <w:p w14:paraId="0D82DB8D">
            <w:pPr>
              <w:keepNext w:val="0"/>
              <w:keepLines w:val="0"/>
              <w:pageBreakBefore w:val="0"/>
              <w:widowControl/>
              <w:kinsoku w:val="0"/>
              <w:wordWrap/>
              <w:overflowPunct/>
              <w:topLinePunct w:val="0"/>
              <w:autoSpaceDE w:val="0"/>
              <w:autoSpaceDN w:val="0"/>
              <w:bidi w:val="0"/>
              <w:spacing w:before="160" w:line="360" w:lineRule="auto"/>
              <w:ind w:left="119"/>
              <w:jc w:val="both"/>
              <w:rPr>
                <w:rFonts w:ascii="宋体" w:hAnsi="宋体" w:eastAsia="宋体" w:cs="宋体"/>
                <w:b w:val="0"/>
                <w:bCs w:val="0"/>
                <w:sz w:val="18"/>
                <w:szCs w:val="18"/>
              </w:rPr>
            </w:pPr>
            <w:r>
              <w:rPr>
                <w:rFonts w:ascii="宋体" w:hAnsi="宋体" w:eastAsia="宋体" w:cs="宋体"/>
                <w:b w:val="0"/>
                <w:bCs w:val="0"/>
                <w:spacing w:val="-2"/>
                <w:sz w:val="18"/>
                <w:szCs w:val="18"/>
              </w:rPr>
              <w:t>国家、行业、地方团体标准、地方文件编号</w:t>
            </w:r>
          </w:p>
        </w:tc>
        <w:tc>
          <w:tcPr>
            <w:tcW w:w="1092" w:type="dxa"/>
            <w:noWrap w:val="0"/>
            <w:vAlign w:val="top"/>
          </w:tcPr>
          <w:p w14:paraId="6F886EE8">
            <w:pPr>
              <w:keepNext w:val="0"/>
              <w:keepLines w:val="0"/>
              <w:pageBreakBefore w:val="0"/>
              <w:widowControl/>
              <w:kinsoku w:val="0"/>
              <w:wordWrap/>
              <w:overflowPunct/>
              <w:topLinePunct w:val="0"/>
              <w:autoSpaceDE w:val="0"/>
              <w:autoSpaceDN w:val="0"/>
              <w:bidi w:val="0"/>
              <w:spacing w:before="160" w:line="360" w:lineRule="auto"/>
              <w:ind w:left="141"/>
              <w:jc w:val="both"/>
              <w:rPr>
                <w:rFonts w:ascii="宋体" w:hAnsi="宋体" w:eastAsia="宋体" w:cs="宋体"/>
                <w:b w:val="0"/>
                <w:bCs w:val="0"/>
                <w:sz w:val="18"/>
                <w:szCs w:val="18"/>
              </w:rPr>
            </w:pPr>
            <w:r>
              <w:rPr>
                <w:rFonts w:ascii="宋体" w:hAnsi="宋体" w:eastAsia="宋体" w:cs="宋体"/>
                <w:b w:val="0"/>
                <w:bCs w:val="0"/>
                <w:spacing w:val="-4"/>
                <w:sz w:val="18"/>
                <w:szCs w:val="18"/>
              </w:rPr>
              <w:t>标准状态</w:t>
            </w:r>
          </w:p>
        </w:tc>
        <w:tc>
          <w:tcPr>
            <w:tcW w:w="1328" w:type="dxa"/>
            <w:noWrap w:val="0"/>
            <w:vAlign w:val="top"/>
          </w:tcPr>
          <w:p w14:paraId="5ABB62B5">
            <w:pPr>
              <w:keepNext w:val="0"/>
              <w:keepLines w:val="0"/>
              <w:pageBreakBefore w:val="0"/>
              <w:widowControl/>
              <w:kinsoku w:val="0"/>
              <w:wordWrap/>
              <w:overflowPunct/>
              <w:topLinePunct w:val="0"/>
              <w:autoSpaceDE w:val="0"/>
              <w:autoSpaceDN w:val="0"/>
              <w:bidi w:val="0"/>
              <w:spacing w:before="161" w:line="360" w:lineRule="auto"/>
              <w:ind w:left="153"/>
              <w:jc w:val="both"/>
              <w:rPr>
                <w:rFonts w:ascii="宋体" w:hAnsi="宋体" w:eastAsia="宋体" w:cs="宋体"/>
                <w:b w:val="0"/>
                <w:bCs w:val="0"/>
                <w:sz w:val="18"/>
                <w:szCs w:val="18"/>
              </w:rPr>
            </w:pPr>
            <w:r>
              <w:rPr>
                <w:rFonts w:ascii="宋体" w:hAnsi="宋体" w:eastAsia="宋体" w:cs="宋体"/>
                <w:b w:val="0"/>
                <w:bCs w:val="0"/>
                <w:spacing w:val="-5"/>
                <w:sz w:val="18"/>
                <w:szCs w:val="18"/>
              </w:rPr>
              <w:t>备注</w:t>
            </w:r>
          </w:p>
        </w:tc>
      </w:tr>
      <w:tr w14:paraId="087AA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 w:hRule="atLeast"/>
        </w:trPr>
        <w:tc>
          <w:tcPr>
            <w:tcW w:w="647" w:type="dxa"/>
            <w:noWrap w:val="0"/>
            <w:vAlign w:val="top"/>
          </w:tcPr>
          <w:p w14:paraId="151BC1FB">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79" w:type="dxa"/>
            <w:vMerge w:val="restart"/>
            <w:noWrap w:val="0"/>
            <w:vAlign w:val="top"/>
          </w:tcPr>
          <w:p w14:paraId="2FE69801">
            <w:pPr>
              <w:keepNext w:val="0"/>
              <w:keepLines w:val="0"/>
              <w:pageBreakBefore w:val="0"/>
              <w:widowControl/>
              <w:kinsoku w:val="0"/>
              <w:wordWrap/>
              <w:overflowPunct/>
              <w:topLinePunct w:val="0"/>
              <w:autoSpaceDE w:val="0"/>
              <w:autoSpaceDN w:val="0"/>
              <w:bidi w:val="0"/>
              <w:spacing w:before="68" w:line="360" w:lineRule="auto"/>
              <w:ind w:left="90" w:leftChars="0" w:right="157" w:rightChars="0" w:firstLine="59"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z w:val="18"/>
                <w:szCs w:val="18"/>
              </w:rPr>
              <w:t>101服务通用基础</w:t>
            </w:r>
            <w:r>
              <w:rPr>
                <w:rFonts w:hint="eastAsia" w:ascii="宋体" w:hAnsi="宋体" w:eastAsia="宋体" w:cs="宋体"/>
                <w:spacing w:val="-3"/>
                <w:sz w:val="18"/>
                <w:szCs w:val="18"/>
              </w:rPr>
              <w:t>标准</w:t>
            </w:r>
          </w:p>
        </w:tc>
        <w:tc>
          <w:tcPr>
            <w:tcW w:w="1596" w:type="dxa"/>
            <w:noWrap w:val="0"/>
            <w:vAlign w:val="top"/>
          </w:tcPr>
          <w:p w14:paraId="74490206">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31E76957">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72A203DC">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39A6F44F">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568D37C0">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7F04ABBD">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160B9985">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68BAA94D">
            <w:pPr>
              <w:pStyle w:val="8"/>
              <w:keepNext w:val="0"/>
              <w:keepLines w:val="0"/>
              <w:pageBreakBefore w:val="0"/>
              <w:widowControl/>
              <w:kinsoku w:val="0"/>
              <w:wordWrap/>
              <w:overflowPunct/>
              <w:topLinePunct w:val="0"/>
              <w:autoSpaceDE w:val="0"/>
              <w:autoSpaceDN w:val="0"/>
              <w:bidi w:val="0"/>
              <w:spacing w:line="360" w:lineRule="auto"/>
            </w:pPr>
          </w:p>
        </w:tc>
      </w:tr>
      <w:tr w14:paraId="718D2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47" w:type="dxa"/>
            <w:noWrap w:val="0"/>
            <w:vAlign w:val="top"/>
          </w:tcPr>
          <w:p w14:paraId="51F8457C">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79" w:type="dxa"/>
            <w:vMerge w:val="continue"/>
            <w:noWrap w:val="0"/>
            <w:vAlign w:val="top"/>
          </w:tcPr>
          <w:p w14:paraId="481BE16E">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65E3F712">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70F44BB3">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31B49CA8">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03BBD398">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466409D6">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7A23C9B1">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1E1F762F">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2C409DC4">
            <w:pPr>
              <w:pStyle w:val="8"/>
              <w:keepNext w:val="0"/>
              <w:keepLines w:val="0"/>
              <w:pageBreakBefore w:val="0"/>
              <w:widowControl/>
              <w:kinsoku w:val="0"/>
              <w:wordWrap/>
              <w:overflowPunct/>
              <w:topLinePunct w:val="0"/>
              <w:autoSpaceDE w:val="0"/>
              <w:autoSpaceDN w:val="0"/>
              <w:bidi w:val="0"/>
              <w:spacing w:line="360" w:lineRule="auto"/>
            </w:pPr>
          </w:p>
        </w:tc>
      </w:tr>
      <w:tr w14:paraId="77688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atLeast"/>
        </w:trPr>
        <w:tc>
          <w:tcPr>
            <w:tcW w:w="647" w:type="dxa"/>
            <w:noWrap w:val="0"/>
            <w:vAlign w:val="top"/>
          </w:tcPr>
          <w:p w14:paraId="24365A5A">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479" w:type="dxa"/>
            <w:vMerge w:val="continue"/>
            <w:noWrap w:val="0"/>
            <w:vAlign w:val="top"/>
          </w:tcPr>
          <w:p w14:paraId="088973B7">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22E54E4">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5F8AA0C1">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723B30F8">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6B1982C6">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735BF18C">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6DCD06AF">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2BB2C87D">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4332131B">
            <w:pPr>
              <w:pStyle w:val="8"/>
              <w:keepNext w:val="0"/>
              <w:keepLines w:val="0"/>
              <w:pageBreakBefore w:val="0"/>
              <w:widowControl/>
              <w:kinsoku w:val="0"/>
              <w:wordWrap/>
              <w:overflowPunct/>
              <w:topLinePunct w:val="0"/>
              <w:autoSpaceDE w:val="0"/>
              <w:autoSpaceDN w:val="0"/>
              <w:bidi w:val="0"/>
              <w:spacing w:line="360" w:lineRule="auto"/>
            </w:pPr>
          </w:p>
        </w:tc>
      </w:tr>
      <w:tr w14:paraId="18FBB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 w:hRule="atLeast"/>
        </w:trPr>
        <w:tc>
          <w:tcPr>
            <w:tcW w:w="647" w:type="dxa"/>
            <w:noWrap w:val="0"/>
            <w:vAlign w:val="top"/>
          </w:tcPr>
          <w:p w14:paraId="18C1368F">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479" w:type="dxa"/>
            <w:vMerge w:val="continue"/>
            <w:noWrap w:val="0"/>
            <w:vAlign w:val="top"/>
          </w:tcPr>
          <w:p w14:paraId="4C51FA0D">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105FF8D">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7744DA05">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5529F7E6">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071E5812">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29EE89D2">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555860C9">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3DDC7346">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429C889E">
            <w:pPr>
              <w:pStyle w:val="8"/>
              <w:keepNext w:val="0"/>
              <w:keepLines w:val="0"/>
              <w:pageBreakBefore w:val="0"/>
              <w:widowControl/>
              <w:kinsoku w:val="0"/>
              <w:wordWrap/>
              <w:overflowPunct/>
              <w:topLinePunct w:val="0"/>
              <w:autoSpaceDE w:val="0"/>
              <w:autoSpaceDN w:val="0"/>
              <w:bidi w:val="0"/>
              <w:spacing w:line="360" w:lineRule="auto"/>
            </w:pPr>
          </w:p>
        </w:tc>
      </w:tr>
      <w:tr w14:paraId="11DC0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47" w:type="dxa"/>
            <w:noWrap w:val="0"/>
            <w:vAlign w:val="top"/>
          </w:tcPr>
          <w:p w14:paraId="5A6ED1D4">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479" w:type="dxa"/>
            <w:vMerge w:val="continue"/>
            <w:noWrap w:val="0"/>
            <w:vAlign w:val="top"/>
          </w:tcPr>
          <w:p w14:paraId="051BE547">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643906B7">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6395540E">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35B8E75D">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0020C052">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4672DEAE">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5D517182">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062A1395">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1D0C25F9">
            <w:pPr>
              <w:pStyle w:val="8"/>
              <w:keepNext w:val="0"/>
              <w:keepLines w:val="0"/>
              <w:pageBreakBefore w:val="0"/>
              <w:widowControl/>
              <w:kinsoku w:val="0"/>
              <w:wordWrap/>
              <w:overflowPunct/>
              <w:topLinePunct w:val="0"/>
              <w:autoSpaceDE w:val="0"/>
              <w:autoSpaceDN w:val="0"/>
              <w:bidi w:val="0"/>
              <w:spacing w:line="360" w:lineRule="auto"/>
            </w:pPr>
          </w:p>
        </w:tc>
      </w:tr>
      <w:tr w14:paraId="5E857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 w:hRule="atLeast"/>
        </w:trPr>
        <w:tc>
          <w:tcPr>
            <w:tcW w:w="647" w:type="dxa"/>
            <w:noWrap w:val="0"/>
            <w:vAlign w:val="top"/>
          </w:tcPr>
          <w:p w14:paraId="67E6DB9C">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1479" w:type="dxa"/>
            <w:vMerge w:val="continue"/>
            <w:noWrap w:val="0"/>
            <w:vAlign w:val="top"/>
          </w:tcPr>
          <w:p w14:paraId="3F203295">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2A0CFC8">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2E2B6625">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444E75D9">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0515937F">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4D53C966">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014D3A5C">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708D511A">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44FE462C">
            <w:pPr>
              <w:pStyle w:val="8"/>
              <w:keepNext w:val="0"/>
              <w:keepLines w:val="0"/>
              <w:pageBreakBefore w:val="0"/>
              <w:widowControl/>
              <w:kinsoku w:val="0"/>
              <w:wordWrap/>
              <w:overflowPunct/>
              <w:topLinePunct w:val="0"/>
              <w:autoSpaceDE w:val="0"/>
              <w:autoSpaceDN w:val="0"/>
              <w:bidi w:val="0"/>
              <w:spacing w:line="360" w:lineRule="auto"/>
            </w:pPr>
          </w:p>
        </w:tc>
      </w:tr>
      <w:tr w14:paraId="0A0BC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atLeast"/>
        </w:trPr>
        <w:tc>
          <w:tcPr>
            <w:tcW w:w="647" w:type="dxa"/>
            <w:noWrap w:val="0"/>
            <w:vAlign w:val="top"/>
          </w:tcPr>
          <w:p w14:paraId="04670241">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w:t>
            </w:r>
          </w:p>
        </w:tc>
        <w:tc>
          <w:tcPr>
            <w:tcW w:w="1479" w:type="dxa"/>
            <w:vMerge w:val="restart"/>
            <w:noWrap w:val="0"/>
            <w:vAlign w:val="top"/>
          </w:tcPr>
          <w:p w14:paraId="3EBC3288">
            <w:pPr>
              <w:keepNext w:val="0"/>
              <w:keepLines w:val="0"/>
              <w:pageBreakBefore w:val="0"/>
              <w:widowControl/>
              <w:kinsoku w:val="0"/>
              <w:wordWrap/>
              <w:overflowPunct/>
              <w:topLinePunct w:val="0"/>
              <w:autoSpaceDE w:val="0"/>
              <w:autoSpaceDN w:val="0"/>
              <w:bidi w:val="0"/>
              <w:spacing w:before="69" w:line="360" w:lineRule="auto"/>
              <w:ind w:left="90" w:leftChars="0" w:right="159" w:rightChars="0" w:firstLine="59" w:firstLineChars="0"/>
              <w:rPr>
                <w:rFonts w:hint="eastAsia" w:ascii="宋体" w:hAnsi="宋体" w:eastAsia="宋体" w:cs="宋体"/>
                <w:snapToGrid w:val="0"/>
                <w:color w:val="000000"/>
                <w:kern w:val="0"/>
                <w:sz w:val="18"/>
                <w:szCs w:val="18"/>
                <w:lang w:val="en-US" w:eastAsia="en-US" w:bidi="ar-SA"/>
              </w:rPr>
            </w:pPr>
            <w:r>
              <w:rPr>
                <w:rFonts w:hint="eastAsia" w:ascii="宋体" w:hAnsi="宋体" w:eastAsia="宋体" w:cs="宋体"/>
                <w:sz w:val="18"/>
                <w:szCs w:val="18"/>
              </w:rPr>
              <w:t>102行业通用测算</w:t>
            </w:r>
            <w:r>
              <w:rPr>
                <w:rFonts w:hint="eastAsia" w:ascii="宋体" w:hAnsi="宋体" w:eastAsia="宋体" w:cs="宋体"/>
                <w:spacing w:val="6"/>
                <w:sz w:val="18"/>
                <w:szCs w:val="18"/>
              </w:rPr>
              <w:t>规范</w:t>
            </w:r>
          </w:p>
        </w:tc>
        <w:tc>
          <w:tcPr>
            <w:tcW w:w="1596" w:type="dxa"/>
            <w:noWrap w:val="0"/>
            <w:vAlign w:val="top"/>
          </w:tcPr>
          <w:p w14:paraId="5A47DE74">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6A3BE471">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1B81DACB">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1C3C1900">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304568D5">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0C9E7192">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032A8C62">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21F5D054">
            <w:pPr>
              <w:pStyle w:val="8"/>
              <w:keepNext w:val="0"/>
              <w:keepLines w:val="0"/>
              <w:pageBreakBefore w:val="0"/>
              <w:widowControl/>
              <w:kinsoku w:val="0"/>
              <w:wordWrap/>
              <w:overflowPunct/>
              <w:topLinePunct w:val="0"/>
              <w:autoSpaceDE w:val="0"/>
              <w:autoSpaceDN w:val="0"/>
              <w:bidi w:val="0"/>
              <w:spacing w:line="360" w:lineRule="auto"/>
            </w:pPr>
          </w:p>
        </w:tc>
      </w:tr>
      <w:tr w14:paraId="08465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47" w:type="dxa"/>
            <w:noWrap w:val="0"/>
            <w:vAlign w:val="top"/>
          </w:tcPr>
          <w:p w14:paraId="4CC98394">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1479" w:type="dxa"/>
            <w:vMerge w:val="continue"/>
            <w:noWrap w:val="0"/>
            <w:vAlign w:val="top"/>
          </w:tcPr>
          <w:p w14:paraId="252B50A0">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4E41CD2A">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33A96631">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0427C9FD">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54B30227">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5E2CB39B">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C132AE2">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0F1254C2">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66B74FFA">
            <w:pPr>
              <w:pStyle w:val="8"/>
              <w:keepNext w:val="0"/>
              <w:keepLines w:val="0"/>
              <w:pageBreakBefore w:val="0"/>
              <w:widowControl/>
              <w:kinsoku w:val="0"/>
              <w:wordWrap/>
              <w:overflowPunct/>
              <w:topLinePunct w:val="0"/>
              <w:autoSpaceDE w:val="0"/>
              <w:autoSpaceDN w:val="0"/>
              <w:bidi w:val="0"/>
              <w:spacing w:line="360" w:lineRule="auto"/>
            </w:pPr>
          </w:p>
        </w:tc>
      </w:tr>
      <w:tr w14:paraId="68ACC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 w:hRule="atLeast"/>
        </w:trPr>
        <w:tc>
          <w:tcPr>
            <w:tcW w:w="647" w:type="dxa"/>
            <w:noWrap w:val="0"/>
            <w:vAlign w:val="top"/>
          </w:tcPr>
          <w:p w14:paraId="7600D829">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1479" w:type="dxa"/>
            <w:vMerge w:val="continue"/>
            <w:noWrap w:val="0"/>
            <w:vAlign w:val="top"/>
          </w:tcPr>
          <w:p w14:paraId="0922485E">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7A612A14">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57386948">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60B76D2B">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787EB394">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36BE63D8">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3E84A8A0">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383DFEA4">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115B586F">
            <w:pPr>
              <w:pStyle w:val="8"/>
              <w:keepNext w:val="0"/>
              <w:keepLines w:val="0"/>
              <w:pageBreakBefore w:val="0"/>
              <w:widowControl/>
              <w:kinsoku w:val="0"/>
              <w:wordWrap/>
              <w:overflowPunct/>
              <w:topLinePunct w:val="0"/>
              <w:autoSpaceDE w:val="0"/>
              <w:autoSpaceDN w:val="0"/>
              <w:bidi w:val="0"/>
              <w:spacing w:line="360" w:lineRule="auto"/>
            </w:pPr>
          </w:p>
        </w:tc>
      </w:tr>
      <w:tr w14:paraId="560F3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 w:hRule="atLeast"/>
        </w:trPr>
        <w:tc>
          <w:tcPr>
            <w:tcW w:w="647" w:type="dxa"/>
            <w:noWrap w:val="0"/>
            <w:vAlign w:val="top"/>
          </w:tcPr>
          <w:p w14:paraId="150BCF2E">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1479" w:type="dxa"/>
            <w:vMerge w:val="continue"/>
            <w:noWrap w:val="0"/>
            <w:vAlign w:val="top"/>
          </w:tcPr>
          <w:p w14:paraId="1F31282E">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6BE1D160">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24BAA608">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7CF4DE43">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63A65AAE">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603FF2AD">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C18A72C">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5EB469FF">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2C879813">
            <w:pPr>
              <w:pStyle w:val="8"/>
              <w:keepNext w:val="0"/>
              <w:keepLines w:val="0"/>
              <w:pageBreakBefore w:val="0"/>
              <w:widowControl/>
              <w:kinsoku w:val="0"/>
              <w:wordWrap/>
              <w:overflowPunct/>
              <w:topLinePunct w:val="0"/>
              <w:autoSpaceDE w:val="0"/>
              <w:autoSpaceDN w:val="0"/>
              <w:bidi w:val="0"/>
              <w:spacing w:line="360" w:lineRule="auto"/>
            </w:pPr>
          </w:p>
        </w:tc>
      </w:tr>
      <w:tr w14:paraId="63069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atLeast"/>
        </w:trPr>
        <w:tc>
          <w:tcPr>
            <w:tcW w:w="647" w:type="dxa"/>
            <w:noWrap w:val="0"/>
            <w:vAlign w:val="top"/>
          </w:tcPr>
          <w:p w14:paraId="27FE342A">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w:t>
            </w:r>
          </w:p>
        </w:tc>
        <w:tc>
          <w:tcPr>
            <w:tcW w:w="1479" w:type="dxa"/>
            <w:vMerge w:val="continue"/>
            <w:noWrap w:val="0"/>
            <w:vAlign w:val="top"/>
          </w:tcPr>
          <w:p w14:paraId="28FA281F">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1295AD4B">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4A195B63">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5322F609">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1E8DB905">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57AF8380">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129062A9">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22FB8A86">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5DE9D7EC">
            <w:pPr>
              <w:pStyle w:val="8"/>
              <w:keepNext w:val="0"/>
              <w:keepLines w:val="0"/>
              <w:pageBreakBefore w:val="0"/>
              <w:widowControl/>
              <w:kinsoku w:val="0"/>
              <w:wordWrap/>
              <w:overflowPunct/>
              <w:topLinePunct w:val="0"/>
              <w:autoSpaceDE w:val="0"/>
              <w:autoSpaceDN w:val="0"/>
              <w:bidi w:val="0"/>
              <w:spacing w:line="360" w:lineRule="auto"/>
            </w:pPr>
          </w:p>
        </w:tc>
      </w:tr>
      <w:tr w14:paraId="0BCA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647" w:type="dxa"/>
            <w:noWrap w:val="0"/>
            <w:vAlign w:val="top"/>
          </w:tcPr>
          <w:p w14:paraId="6FCAB8D7">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1479" w:type="dxa"/>
            <w:vMerge w:val="continue"/>
            <w:noWrap w:val="0"/>
            <w:vAlign w:val="top"/>
          </w:tcPr>
          <w:p w14:paraId="04899CA1">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4A7A970A">
            <w:pPr>
              <w:pStyle w:val="8"/>
              <w:keepNext w:val="0"/>
              <w:keepLines w:val="0"/>
              <w:pageBreakBefore w:val="0"/>
              <w:widowControl/>
              <w:kinsoku w:val="0"/>
              <w:wordWrap/>
              <w:overflowPunct/>
              <w:topLinePunct w:val="0"/>
              <w:autoSpaceDE w:val="0"/>
              <w:autoSpaceDN w:val="0"/>
              <w:bidi w:val="0"/>
              <w:spacing w:line="360" w:lineRule="auto"/>
            </w:pPr>
          </w:p>
        </w:tc>
        <w:tc>
          <w:tcPr>
            <w:tcW w:w="1774" w:type="dxa"/>
            <w:noWrap w:val="0"/>
            <w:vAlign w:val="top"/>
          </w:tcPr>
          <w:p w14:paraId="59762992">
            <w:pPr>
              <w:pStyle w:val="8"/>
              <w:keepNext w:val="0"/>
              <w:keepLines w:val="0"/>
              <w:pageBreakBefore w:val="0"/>
              <w:widowControl/>
              <w:kinsoku w:val="0"/>
              <w:wordWrap/>
              <w:overflowPunct/>
              <w:topLinePunct w:val="0"/>
              <w:autoSpaceDE w:val="0"/>
              <w:autoSpaceDN w:val="0"/>
              <w:bidi w:val="0"/>
              <w:spacing w:line="360" w:lineRule="auto"/>
            </w:pPr>
          </w:p>
        </w:tc>
        <w:tc>
          <w:tcPr>
            <w:tcW w:w="1453" w:type="dxa"/>
            <w:noWrap w:val="0"/>
            <w:vAlign w:val="top"/>
          </w:tcPr>
          <w:p w14:paraId="42E2128D">
            <w:pPr>
              <w:pStyle w:val="8"/>
              <w:keepNext w:val="0"/>
              <w:keepLines w:val="0"/>
              <w:pageBreakBefore w:val="0"/>
              <w:widowControl/>
              <w:kinsoku w:val="0"/>
              <w:wordWrap/>
              <w:overflowPunct/>
              <w:topLinePunct w:val="0"/>
              <w:autoSpaceDE w:val="0"/>
              <w:autoSpaceDN w:val="0"/>
              <w:bidi w:val="0"/>
              <w:spacing w:line="360" w:lineRule="auto"/>
            </w:pPr>
          </w:p>
        </w:tc>
        <w:tc>
          <w:tcPr>
            <w:tcW w:w="1429" w:type="dxa"/>
            <w:noWrap w:val="0"/>
            <w:vAlign w:val="top"/>
          </w:tcPr>
          <w:p w14:paraId="443A62A0">
            <w:pPr>
              <w:pStyle w:val="8"/>
              <w:keepNext w:val="0"/>
              <w:keepLines w:val="0"/>
              <w:pageBreakBefore w:val="0"/>
              <w:widowControl/>
              <w:kinsoku w:val="0"/>
              <w:wordWrap/>
              <w:overflowPunct/>
              <w:topLinePunct w:val="0"/>
              <w:autoSpaceDE w:val="0"/>
              <w:autoSpaceDN w:val="0"/>
              <w:bidi w:val="0"/>
              <w:spacing w:line="360" w:lineRule="auto"/>
            </w:pPr>
          </w:p>
        </w:tc>
        <w:tc>
          <w:tcPr>
            <w:tcW w:w="1479" w:type="dxa"/>
            <w:noWrap w:val="0"/>
            <w:vAlign w:val="top"/>
          </w:tcPr>
          <w:p w14:paraId="2A23A8E7">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32B05404">
            <w:pPr>
              <w:pStyle w:val="8"/>
              <w:keepNext w:val="0"/>
              <w:keepLines w:val="0"/>
              <w:pageBreakBefore w:val="0"/>
              <w:widowControl/>
              <w:kinsoku w:val="0"/>
              <w:wordWrap/>
              <w:overflowPunct/>
              <w:topLinePunct w:val="0"/>
              <w:autoSpaceDE w:val="0"/>
              <w:autoSpaceDN w:val="0"/>
              <w:bidi w:val="0"/>
              <w:spacing w:line="360" w:lineRule="auto"/>
            </w:pPr>
          </w:p>
        </w:tc>
        <w:tc>
          <w:tcPr>
            <w:tcW w:w="1092" w:type="dxa"/>
            <w:noWrap w:val="0"/>
            <w:vAlign w:val="top"/>
          </w:tcPr>
          <w:p w14:paraId="5E66CE25">
            <w:pPr>
              <w:pStyle w:val="8"/>
              <w:keepNext w:val="0"/>
              <w:keepLines w:val="0"/>
              <w:pageBreakBefore w:val="0"/>
              <w:widowControl/>
              <w:kinsoku w:val="0"/>
              <w:wordWrap/>
              <w:overflowPunct/>
              <w:topLinePunct w:val="0"/>
              <w:autoSpaceDE w:val="0"/>
              <w:autoSpaceDN w:val="0"/>
              <w:bidi w:val="0"/>
              <w:spacing w:line="360" w:lineRule="auto"/>
            </w:pPr>
          </w:p>
        </w:tc>
        <w:tc>
          <w:tcPr>
            <w:tcW w:w="1328" w:type="dxa"/>
            <w:noWrap w:val="0"/>
            <w:vAlign w:val="top"/>
          </w:tcPr>
          <w:p w14:paraId="10C30DBC">
            <w:pPr>
              <w:pStyle w:val="8"/>
              <w:keepNext w:val="0"/>
              <w:keepLines w:val="0"/>
              <w:pageBreakBefore w:val="0"/>
              <w:widowControl/>
              <w:kinsoku w:val="0"/>
              <w:wordWrap/>
              <w:overflowPunct/>
              <w:topLinePunct w:val="0"/>
              <w:autoSpaceDE w:val="0"/>
              <w:autoSpaceDN w:val="0"/>
              <w:bidi w:val="0"/>
              <w:spacing w:line="360" w:lineRule="auto"/>
            </w:pPr>
          </w:p>
        </w:tc>
      </w:tr>
    </w:tbl>
    <w:p w14:paraId="11406446">
      <w:pPr>
        <w:keepNext w:val="0"/>
        <w:keepLines w:val="0"/>
        <w:pageBreakBefore w:val="0"/>
        <w:widowControl/>
        <w:kinsoku w:val="0"/>
        <w:wordWrap/>
        <w:overflowPunct/>
        <w:topLinePunct w:val="0"/>
        <w:autoSpaceDE w:val="0"/>
        <w:autoSpaceDN w:val="0"/>
        <w:bidi w:val="0"/>
        <w:spacing w:line="360" w:lineRule="auto"/>
        <w:sectPr>
          <w:headerReference r:id="rId12" w:type="default"/>
          <w:footerReference r:id="rId13" w:type="default"/>
          <w:pgSz w:w="16832" w:h="11900" w:orient="landscape"/>
          <w:pgMar w:top="850" w:right="1134" w:bottom="850" w:left="1134" w:header="0" w:footer="1128" w:gutter="0"/>
          <w:paperSrc/>
          <w:pgNumType w:fmt="decimal"/>
          <w:cols w:space="720" w:num="1"/>
          <w:rtlGutter w:val="0"/>
          <w:docGrid w:linePitch="0" w:charSpace="0"/>
        </w:sectPr>
      </w:pPr>
    </w:p>
    <w:p w14:paraId="24376582">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r>
        <w:rPr>
          <w:rFonts w:hint="eastAsia" w:ascii="宋体" w:hAnsi="宋体" w:eastAsia="宋体" w:cs="宋体"/>
          <w:b w:val="0"/>
          <w:bCs w:val="0"/>
          <w:spacing w:val="-9"/>
          <w:sz w:val="21"/>
          <w:szCs w:val="21"/>
          <w:lang w:eastAsia="zh-CN"/>
        </w:rPr>
        <w:t>T/XXXX-2025</w:t>
      </w:r>
    </w:p>
    <w:p w14:paraId="5EBFBB3C">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表C.2业务服务标准子体系标准明细表</w:t>
      </w:r>
    </w:p>
    <w:p w14:paraId="680E46B1">
      <w:pPr>
        <w:keepNext w:val="0"/>
        <w:keepLines w:val="0"/>
        <w:pageBreakBefore w:val="0"/>
        <w:widowControl/>
        <w:kinsoku w:val="0"/>
        <w:wordWrap/>
        <w:overflowPunct/>
        <w:topLinePunct w:val="0"/>
        <w:autoSpaceDE w:val="0"/>
        <w:autoSpaceDN w:val="0"/>
        <w:bidi w:val="0"/>
        <w:spacing w:line="360" w:lineRule="auto"/>
      </w:pPr>
    </w:p>
    <w:tbl>
      <w:tblPr>
        <w:tblStyle w:val="7"/>
        <w:tblW w:w="143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479"/>
        <w:gridCol w:w="1596"/>
        <w:gridCol w:w="1799"/>
        <w:gridCol w:w="1462"/>
        <w:gridCol w:w="1395"/>
        <w:gridCol w:w="1462"/>
        <w:gridCol w:w="2101"/>
        <w:gridCol w:w="1126"/>
        <w:gridCol w:w="1309"/>
      </w:tblGrid>
      <w:tr w14:paraId="4645C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656" w:type="dxa"/>
            <w:tcBorders>
              <w:bottom w:val="single" w:color="auto" w:sz="4" w:space="0"/>
            </w:tcBorders>
            <w:noWrap w:val="0"/>
            <w:vAlign w:val="top"/>
          </w:tcPr>
          <w:p w14:paraId="18AECE53">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spacing w:val="8"/>
                <w:w w:val="100"/>
                <w:kern w:val="0"/>
                <w:sz w:val="18"/>
                <w:szCs w:val="18"/>
                <w:u w:val="none"/>
                <w:fitText w:val="420" w:id="2097090632"/>
                <w:lang w:val="en-US" w:eastAsia="zh-CN" w:bidi="ar"/>
              </w:rPr>
            </w:pPr>
          </w:p>
          <w:p w14:paraId="3993AC68">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spacing w:val="8"/>
                <w:w w:val="100"/>
                <w:kern w:val="0"/>
                <w:sz w:val="18"/>
                <w:szCs w:val="18"/>
                <w:u w:val="none"/>
                <w:fitText w:val="420" w:id="2097090632"/>
                <w:lang w:val="en-US" w:eastAsia="zh-CN" w:bidi="ar"/>
              </w:rPr>
              <w:t>序</w:t>
            </w:r>
            <w:r>
              <w:rPr>
                <w:rFonts w:hint="eastAsia" w:ascii="宋体" w:hAnsi="宋体" w:eastAsia="宋体" w:cs="宋体"/>
                <w:b w:val="0"/>
                <w:bCs w:val="0"/>
                <w:i w:val="0"/>
                <w:iCs w:val="0"/>
                <w:snapToGrid w:val="0"/>
                <w:color w:val="000000"/>
                <w:spacing w:val="0"/>
                <w:w w:val="100"/>
                <w:kern w:val="0"/>
                <w:sz w:val="18"/>
                <w:szCs w:val="18"/>
                <w:u w:val="none"/>
                <w:fitText w:val="420" w:id="2097090632"/>
                <w:lang w:val="en-US" w:eastAsia="zh-CN" w:bidi="ar"/>
              </w:rPr>
              <w:t>号</w:t>
            </w:r>
          </w:p>
        </w:tc>
        <w:tc>
          <w:tcPr>
            <w:tcW w:w="1479" w:type="dxa"/>
            <w:noWrap w:val="0"/>
            <w:vAlign w:val="top"/>
          </w:tcPr>
          <w:p w14:paraId="48BA1489">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38F579D2">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子体系名称</w:t>
            </w:r>
          </w:p>
        </w:tc>
        <w:tc>
          <w:tcPr>
            <w:tcW w:w="1596" w:type="dxa"/>
            <w:noWrap w:val="0"/>
            <w:vAlign w:val="top"/>
          </w:tcPr>
          <w:p w14:paraId="35051948">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5FE280FB">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标准体系编号</w:t>
            </w:r>
          </w:p>
        </w:tc>
        <w:tc>
          <w:tcPr>
            <w:tcW w:w="1799" w:type="dxa"/>
            <w:noWrap w:val="0"/>
            <w:vAlign w:val="top"/>
          </w:tcPr>
          <w:p w14:paraId="16C5D799">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6C1F1304">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标准名称</w:t>
            </w:r>
          </w:p>
        </w:tc>
        <w:tc>
          <w:tcPr>
            <w:tcW w:w="1462" w:type="dxa"/>
            <w:noWrap w:val="0"/>
            <w:vAlign w:val="top"/>
          </w:tcPr>
          <w:p w14:paraId="0AFA0894">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3BDA6C8D">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发布日期</w:t>
            </w:r>
          </w:p>
        </w:tc>
        <w:tc>
          <w:tcPr>
            <w:tcW w:w="1395" w:type="dxa"/>
            <w:noWrap w:val="0"/>
            <w:vAlign w:val="top"/>
          </w:tcPr>
          <w:p w14:paraId="494E6360">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2576094B">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实施日期</w:t>
            </w:r>
          </w:p>
        </w:tc>
        <w:tc>
          <w:tcPr>
            <w:tcW w:w="1462" w:type="dxa"/>
            <w:noWrap w:val="0"/>
            <w:vAlign w:val="top"/>
          </w:tcPr>
          <w:p w14:paraId="19330995">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0609F515">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主管部门</w:t>
            </w:r>
          </w:p>
        </w:tc>
        <w:tc>
          <w:tcPr>
            <w:tcW w:w="2101" w:type="dxa"/>
            <w:noWrap w:val="0"/>
            <w:vAlign w:val="top"/>
          </w:tcPr>
          <w:p w14:paraId="4897F029">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国家、行业、地方团体标准、地方文件编号</w:t>
            </w:r>
          </w:p>
        </w:tc>
        <w:tc>
          <w:tcPr>
            <w:tcW w:w="1126" w:type="dxa"/>
            <w:noWrap w:val="0"/>
            <w:vAlign w:val="top"/>
          </w:tcPr>
          <w:p w14:paraId="7FE158D2">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12D4561D">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标准状态</w:t>
            </w:r>
          </w:p>
        </w:tc>
        <w:tc>
          <w:tcPr>
            <w:tcW w:w="1309" w:type="dxa"/>
            <w:noWrap w:val="0"/>
            <w:vAlign w:val="top"/>
          </w:tcPr>
          <w:p w14:paraId="393FF70A">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p>
          <w:p w14:paraId="42E1F89D">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snapToGrid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备注</w:t>
            </w:r>
          </w:p>
        </w:tc>
      </w:tr>
      <w:tr w14:paraId="296BE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573FBDDF">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1</w:t>
            </w:r>
          </w:p>
        </w:tc>
        <w:tc>
          <w:tcPr>
            <w:tcW w:w="1479" w:type="dxa"/>
            <w:vMerge w:val="restart"/>
            <w:tcBorders>
              <w:left w:val="single" w:color="auto" w:sz="4" w:space="0"/>
              <w:bottom w:val="nil"/>
            </w:tcBorders>
            <w:noWrap w:val="0"/>
            <w:vAlign w:val="top"/>
          </w:tcPr>
          <w:p w14:paraId="0546380D">
            <w:pPr>
              <w:keepNext w:val="0"/>
              <w:keepLines w:val="0"/>
              <w:pageBreakBefore w:val="0"/>
              <w:widowControl/>
              <w:kinsoku w:val="0"/>
              <w:wordWrap/>
              <w:overflowPunct/>
              <w:topLinePunct w:val="0"/>
              <w:autoSpaceDE w:val="0"/>
              <w:autoSpaceDN w:val="0"/>
              <w:bidi w:val="0"/>
              <w:spacing w:before="68" w:line="360" w:lineRule="auto"/>
              <w:ind w:left="109" w:right="168" w:firstLine="80"/>
              <w:jc w:val="both"/>
              <w:rPr>
                <w:rFonts w:hint="eastAsia" w:ascii="宋体" w:hAnsi="宋体" w:eastAsia="宋体" w:cs="宋体"/>
                <w:sz w:val="18"/>
                <w:szCs w:val="18"/>
              </w:rPr>
            </w:pPr>
            <w:r>
              <w:rPr>
                <w:rFonts w:hint="eastAsia" w:ascii="宋体" w:hAnsi="宋体" w:eastAsia="宋体" w:cs="宋体"/>
                <w:spacing w:val="4"/>
                <w:sz w:val="18"/>
                <w:szCs w:val="18"/>
              </w:rPr>
              <w:t>201信息</w:t>
            </w:r>
            <w:r>
              <w:rPr>
                <w:rFonts w:hint="eastAsia" w:ascii="宋体" w:hAnsi="宋体" w:eastAsia="宋体" w:cs="宋体"/>
                <w:spacing w:val="5"/>
                <w:sz w:val="18"/>
                <w:szCs w:val="18"/>
              </w:rPr>
              <w:t>化项目技术方案评</w:t>
            </w:r>
            <w:r>
              <w:rPr>
                <w:rFonts w:hint="eastAsia" w:ascii="宋体" w:hAnsi="宋体" w:eastAsia="宋体" w:cs="宋体"/>
                <w:spacing w:val="4"/>
                <w:sz w:val="18"/>
                <w:szCs w:val="18"/>
              </w:rPr>
              <w:t>审规范</w:t>
            </w:r>
          </w:p>
        </w:tc>
        <w:tc>
          <w:tcPr>
            <w:tcW w:w="1596" w:type="dxa"/>
            <w:noWrap w:val="0"/>
            <w:vAlign w:val="top"/>
          </w:tcPr>
          <w:p w14:paraId="148DD0F6">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0C4E0374">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7B15B74C">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1E523E45">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356A6880">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6295FE8D">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403B94D2">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0DB23B10">
            <w:pPr>
              <w:pStyle w:val="8"/>
              <w:keepNext w:val="0"/>
              <w:keepLines w:val="0"/>
              <w:pageBreakBefore w:val="0"/>
              <w:widowControl/>
              <w:kinsoku w:val="0"/>
              <w:wordWrap/>
              <w:overflowPunct/>
              <w:topLinePunct w:val="0"/>
              <w:autoSpaceDE w:val="0"/>
              <w:autoSpaceDN w:val="0"/>
              <w:bidi w:val="0"/>
              <w:spacing w:line="360" w:lineRule="auto"/>
            </w:pPr>
          </w:p>
        </w:tc>
      </w:tr>
      <w:tr w14:paraId="60C33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17BED2AB">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2</w:t>
            </w:r>
          </w:p>
        </w:tc>
        <w:tc>
          <w:tcPr>
            <w:tcW w:w="1479" w:type="dxa"/>
            <w:vMerge w:val="continue"/>
            <w:tcBorders>
              <w:top w:val="nil"/>
              <w:left w:val="single" w:color="auto" w:sz="4" w:space="0"/>
              <w:bottom w:val="nil"/>
            </w:tcBorders>
            <w:noWrap w:val="0"/>
            <w:vAlign w:val="top"/>
          </w:tcPr>
          <w:p w14:paraId="4E55F045">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6778DF91">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1F98DE5A">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24B66294">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1194796D">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3E348352">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31FAC7D">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73A496EB">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40A0E984">
            <w:pPr>
              <w:pStyle w:val="8"/>
              <w:keepNext w:val="0"/>
              <w:keepLines w:val="0"/>
              <w:pageBreakBefore w:val="0"/>
              <w:widowControl/>
              <w:kinsoku w:val="0"/>
              <w:wordWrap/>
              <w:overflowPunct/>
              <w:topLinePunct w:val="0"/>
              <w:autoSpaceDE w:val="0"/>
              <w:autoSpaceDN w:val="0"/>
              <w:bidi w:val="0"/>
              <w:spacing w:line="360" w:lineRule="auto"/>
            </w:pPr>
          </w:p>
        </w:tc>
      </w:tr>
      <w:tr w14:paraId="77401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A4DF4C2">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3</w:t>
            </w:r>
          </w:p>
        </w:tc>
        <w:tc>
          <w:tcPr>
            <w:tcW w:w="1479" w:type="dxa"/>
            <w:vMerge w:val="continue"/>
            <w:tcBorders>
              <w:top w:val="nil"/>
              <w:left w:val="single" w:color="auto" w:sz="4" w:space="0"/>
              <w:bottom w:val="nil"/>
            </w:tcBorders>
            <w:noWrap w:val="0"/>
            <w:vAlign w:val="top"/>
          </w:tcPr>
          <w:p w14:paraId="37114315">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343640A">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7A251D16">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4C3FADF8">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348789C1">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55D6F4CD">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3CD900D9">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0ED97079">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10EC80D4">
            <w:pPr>
              <w:pStyle w:val="8"/>
              <w:keepNext w:val="0"/>
              <w:keepLines w:val="0"/>
              <w:pageBreakBefore w:val="0"/>
              <w:widowControl/>
              <w:kinsoku w:val="0"/>
              <w:wordWrap/>
              <w:overflowPunct/>
              <w:topLinePunct w:val="0"/>
              <w:autoSpaceDE w:val="0"/>
              <w:autoSpaceDN w:val="0"/>
              <w:bidi w:val="0"/>
              <w:spacing w:line="360" w:lineRule="auto"/>
            </w:pPr>
          </w:p>
        </w:tc>
      </w:tr>
      <w:tr w14:paraId="7F7A1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EABEF62">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4</w:t>
            </w:r>
          </w:p>
        </w:tc>
        <w:tc>
          <w:tcPr>
            <w:tcW w:w="1479" w:type="dxa"/>
            <w:vMerge w:val="continue"/>
            <w:tcBorders>
              <w:top w:val="nil"/>
              <w:left w:val="single" w:color="auto" w:sz="4" w:space="0"/>
              <w:bottom w:val="nil"/>
            </w:tcBorders>
            <w:noWrap w:val="0"/>
            <w:vAlign w:val="top"/>
          </w:tcPr>
          <w:p w14:paraId="45A6AD13">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7E4F0700">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3CD68296">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5180BA92">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458E7A28">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22C05F04">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1CA374B8">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2C43AE58">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2E3EA5BB">
            <w:pPr>
              <w:pStyle w:val="8"/>
              <w:keepNext w:val="0"/>
              <w:keepLines w:val="0"/>
              <w:pageBreakBefore w:val="0"/>
              <w:widowControl/>
              <w:kinsoku w:val="0"/>
              <w:wordWrap/>
              <w:overflowPunct/>
              <w:topLinePunct w:val="0"/>
              <w:autoSpaceDE w:val="0"/>
              <w:autoSpaceDN w:val="0"/>
              <w:bidi w:val="0"/>
              <w:spacing w:line="360" w:lineRule="auto"/>
            </w:pPr>
          </w:p>
        </w:tc>
      </w:tr>
      <w:tr w14:paraId="3CBF2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455F5335">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5</w:t>
            </w:r>
          </w:p>
        </w:tc>
        <w:tc>
          <w:tcPr>
            <w:tcW w:w="1479" w:type="dxa"/>
            <w:vMerge w:val="continue"/>
            <w:tcBorders>
              <w:top w:val="nil"/>
              <w:left w:val="single" w:color="auto" w:sz="4" w:space="0"/>
              <w:bottom w:val="nil"/>
            </w:tcBorders>
            <w:noWrap w:val="0"/>
            <w:vAlign w:val="top"/>
          </w:tcPr>
          <w:p w14:paraId="73734ABC">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64A68E41">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73436D1D">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0FB58838">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752ADA82">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2AAA7CBB">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3BC83653">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431FCF7F">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0DF07D33">
            <w:pPr>
              <w:pStyle w:val="8"/>
              <w:keepNext w:val="0"/>
              <w:keepLines w:val="0"/>
              <w:pageBreakBefore w:val="0"/>
              <w:widowControl/>
              <w:kinsoku w:val="0"/>
              <w:wordWrap/>
              <w:overflowPunct/>
              <w:topLinePunct w:val="0"/>
              <w:autoSpaceDE w:val="0"/>
              <w:autoSpaceDN w:val="0"/>
              <w:bidi w:val="0"/>
              <w:spacing w:line="360" w:lineRule="auto"/>
            </w:pPr>
          </w:p>
        </w:tc>
      </w:tr>
      <w:tr w14:paraId="71140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7851D1B6">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6</w:t>
            </w:r>
          </w:p>
        </w:tc>
        <w:tc>
          <w:tcPr>
            <w:tcW w:w="1479" w:type="dxa"/>
            <w:vMerge w:val="continue"/>
            <w:tcBorders>
              <w:top w:val="nil"/>
              <w:left w:val="single" w:color="auto" w:sz="4" w:space="0"/>
            </w:tcBorders>
            <w:noWrap w:val="0"/>
            <w:vAlign w:val="top"/>
          </w:tcPr>
          <w:p w14:paraId="44FECF44">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D21A9C4">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126650D8">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462" w:type="dxa"/>
            <w:noWrap w:val="0"/>
            <w:vAlign w:val="top"/>
          </w:tcPr>
          <w:p w14:paraId="58FB00C4">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53101B23">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5B9691EE">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0AB08CD8">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28F00FC2">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791575A9">
            <w:pPr>
              <w:pStyle w:val="8"/>
              <w:keepNext w:val="0"/>
              <w:keepLines w:val="0"/>
              <w:pageBreakBefore w:val="0"/>
              <w:widowControl/>
              <w:kinsoku w:val="0"/>
              <w:wordWrap/>
              <w:overflowPunct/>
              <w:topLinePunct w:val="0"/>
              <w:autoSpaceDE w:val="0"/>
              <w:autoSpaceDN w:val="0"/>
              <w:bidi w:val="0"/>
              <w:spacing w:line="360" w:lineRule="auto"/>
            </w:pPr>
          </w:p>
        </w:tc>
      </w:tr>
      <w:tr w14:paraId="5FD4C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E6E287A">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7</w:t>
            </w:r>
          </w:p>
        </w:tc>
        <w:tc>
          <w:tcPr>
            <w:tcW w:w="1479" w:type="dxa"/>
            <w:vMerge w:val="restart"/>
            <w:tcBorders>
              <w:left w:val="single" w:color="auto" w:sz="4" w:space="0"/>
              <w:bottom w:val="nil"/>
            </w:tcBorders>
            <w:noWrap w:val="0"/>
            <w:vAlign w:val="top"/>
          </w:tcPr>
          <w:p w14:paraId="0D543B47">
            <w:pPr>
              <w:keepNext w:val="0"/>
              <w:keepLines w:val="0"/>
              <w:pageBreakBefore w:val="0"/>
              <w:widowControl/>
              <w:kinsoku w:val="0"/>
              <w:wordWrap/>
              <w:overflowPunct/>
              <w:topLinePunct w:val="0"/>
              <w:autoSpaceDE w:val="0"/>
              <w:autoSpaceDN w:val="0"/>
              <w:bidi w:val="0"/>
              <w:spacing w:before="69" w:line="360" w:lineRule="auto"/>
              <w:ind w:left="109" w:right="168" w:firstLine="80"/>
              <w:jc w:val="both"/>
              <w:rPr>
                <w:rFonts w:hint="eastAsia" w:ascii="宋体" w:hAnsi="宋体" w:eastAsia="宋体" w:cs="宋体"/>
                <w:sz w:val="18"/>
                <w:szCs w:val="18"/>
              </w:rPr>
            </w:pPr>
            <w:r>
              <w:rPr>
                <w:rFonts w:hint="eastAsia" w:ascii="宋体" w:hAnsi="宋体" w:eastAsia="宋体" w:cs="宋体"/>
                <w:spacing w:val="4"/>
                <w:sz w:val="18"/>
                <w:szCs w:val="18"/>
              </w:rPr>
              <w:t>202信息</w:t>
            </w:r>
            <w:r>
              <w:rPr>
                <w:rFonts w:hint="eastAsia" w:ascii="宋体" w:hAnsi="宋体" w:eastAsia="宋体" w:cs="宋体"/>
                <w:spacing w:val="5"/>
                <w:sz w:val="18"/>
                <w:szCs w:val="18"/>
              </w:rPr>
              <w:t>化项目造价咨询服</w:t>
            </w:r>
            <w:r>
              <w:rPr>
                <w:rFonts w:hint="eastAsia" w:ascii="宋体" w:hAnsi="宋体" w:eastAsia="宋体" w:cs="宋体"/>
                <w:spacing w:val="4"/>
                <w:sz w:val="18"/>
                <w:szCs w:val="18"/>
              </w:rPr>
              <w:t>务规范</w:t>
            </w:r>
          </w:p>
        </w:tc>
        <w:tc>
          <w:tcPr>
            <w:tcW w:w="1596" w:type="dxa"/>
            <w:noWrap w:val="0"/>
            <w:vAlign w:val="top"/>
          </w:tcPr>
          <w:p w14:paraId="773E2AA7">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06421682">
            <w:pPr>
              <w:keepNext w:val="0"/>
              <w:keepLines w:val="0"/>
              <w:pageBreakBefore w:val="0"/>
              <w:widowControl/>
              <w:kinsoku w:val="0"/>
              <w:wordWrap/>
              <w:overflowPunct/>
              <w:topLinePunct w:val="0"/>
              <w:autoSpaceDE w:val="0"/>
              <w:autoSpaceDN w:val="0"/>
              <w:bidi w:val="0"/>
              <w:spacing w:before="27" w:line="360" w:lineRule="auto"/>
              <w:jc w:val="left"/>
              <w:rPr>
                <w:rFonts w:hint="eastAsia" w:ascii="宋体" w:hAnsi="宋体" w:eastAsia="宋体" w:cs="宋体"/>
                <w:sz w:val="18"/>
                <w:szCs w:val="18"/>
              </w:rPr>
            </w:pPr>
            <w:r>
              <w:rPr>
                <w:rFonts w:hint="eastAsia" w:ascii="宋体" w:hAnsi="宋体" w:eastAsia="宋体" w:cs="宋体"/>
                <w:spacing w:val="-2"/>
                <w:sz w:val="18"/>
                <w:szCs w:val="18"/>
              </w:rPr>
              <w:t>造价编制规范</w:t>
            </w:r>
          </w:p>
        </w:tc>
        <w:tc>
          <w:tcPr>
            <w:tcW w:w="1462" w:type="dxa"/>
            <w:noWrap w:val="0"/>
            <w:vAlign w:val="top"/>
          </w:tcPr>
          <w:p w14:paraId="6EDD0DD1">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4E3A79E2">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66391C27">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7AAE690">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2BF93991">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0308BBE5">
            <w:pPr>
              <w:pStyle w:val="8"/>
              <w:keepNext w:val="0"/>
              <w:keepLines w:val="0"/>
              <w:pageBreakBefore w:val="0"/>
              <w:widowControl/>
              <w:kinsoku w:val="0"/>
              <w:wordWrap/>
              <w:overflowPunct/>
              <w:topLinePunct w:val="0"/>
              <w:autoSpaceDE w:val="0"/>
              <w:autoSpaceDN w:val="0"/>
              <w:bidi w:val="0"/>
              <w:spacing w:line="360" w:lineRule="auto"/>
            </w:pPr>
          </w:p>
        </w:tc>
      </w:tr>
      <w:tr w14:paraId="5C60D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2BEA2383">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8</w:t>
            </w:r>
          </w:p>
        </w:tc>
        <w:tc>
          <w:tcPr>
            <w:tcW w:w="1479" w:type="dxa"/>
            <w:vMerge w:val="continue"/>
            <w:tcBorders>
              <w:top w:val="nil"/>
              <w:left w:val="single" w:color="auto" w:sz="4" w:space="0"/>
              <w:bottom w:val="nil"/>
            </w:tcBorders>
            <w:noWrap w:val="0"/>
            <w:vAlign w:val="top"/>
          </w:tcPr>
          <w:p w14:paraId="0BF90BBC">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575DEB4D">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3CF54A02">
            <w:pPr>
              <w:keepNext w:val="0"/>
              <w:keepLines w:val="0"/>
              <w:pageBreakBefore w:val="0"/>
              <w:widowControl/>
              <w:kinsoku w:val="0"/>
              <w:wordWrap/>
              <w:overflowPunct/>
              <w:topLinePunct w:val="0"/>
              <w:autoSpaceDE w:val="0"/>
              <w:autoSpaceDN w:val="0"/>
              <w:bidi w:val="0"/>
              <w:spacing w:before="27" w:line="360" w:lineRule="auto"/>
              <w:jc w:val="left"/>
              <w:rPr>
                <w:rFonts w:hint="eastAsia" w:ascii="宋体" w:hAnsi="宋体" w:eastAsia="宋体" w:cs="宋体"/>
                <w:spacing w:val="-2"/>
                <w:sz w:val="18"/>
                <w:szCs w:val="18"/>
              </w:rPr>
            </w:pPr>
            <w:r>
              <w:rPr>
                <w:rFonts w:hint="eastAsia" w:ascii="宋体" w:hAnsi="宋体" w:eastAsia="宋体" w:cs="宋体"/>
                <w:spacing w:val="-2"/>
                <w:sz w:val="18"/>
                <w:szCs w:val="18"/>
              </w:rPr>
              <w:t>造价审核规范</w:t>
            </w:r>
          </w:p>
        </w:tc>
        <w:tc>
          <w:tcPr>
            <w:tcW w:w="1462" w:type="dxa"/>
            <w:noWrap w:val="0"/>
            <w:vAlign w:val="top"/>
          </w:tcPr>
          <w:p w14:paraId="646F73BC">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2F0E760A">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5CBC6AA">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521AE60E">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25F9FBF1">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2640DC9E">
            <w:pPr>
              <w:pStyle w:val="8"/>
              <w:keepNext w:val="0"/>
              <w:keepLines w:val="0"/>
              <w:pageBreakBefore w:val="0"/>
              <w:widowControl/>
              <w:kinsoku w:val="0"/>
              <w:wordWrap/>
              <w:overflowPunct/>
              <w:topLinePunct w:val="0"/>
              <w:autoSpaceDE w:val="0"/>
              <w:autoSpaceDN w:val="0"/>
              <w:bidi w:val="0"/>
              <w:spacing w:line="360" w:lineRule="auto"/>
            </w:pPr>
          </w:p>
        </w:tc>
      </w:tr>
      <w:tr w14:paraId="03E2A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EEE2EF6">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9</w:t>
            </w:r>
          </w:p>
        </w:tc>
        <w:tc>
          <w:tcPr>
            <w:tcW w:w="1479" w:type="dxa"/>
            <w:vMerge w:val="continue"/>
            <w:tcBorders>
              <w:top w:val="nil"/>
              <w:left w:val="single" w:color="auto" w:sz="4" w:space="0"/>
              <w:bottom w:val="nil"/>
            </w:tcBorders>
            <w:noWrap w:val="0"/>
            <w:vAlign w:val="top"/>
          </w:tcPr>
          <w:p w14:paraId="6DDFF69A">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0A8DAFFB">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7D84B7D9">
            <w:pPr>
              <w:keepNext w:val="0"/>
              <w:keepLines w:val="0"/>
              <w:pageBreakBefore w:val="0"/>
              <w:widowControl/>
              <w:kinsoku w:val="0"/>
              <w:wordWrap/>
              <w:overflowPunct/>
              <w:topLinePunct w:val="0"/>
              <w:autoSpaceDE w:val="0"/>
              <w:autoSpaceDN w:val="0"/>
              <w:bidi w:val="0"/>
              <w:spacing w:before="27" w:line="360" w:lineRule="auto"/>
              <w:jc w:val="left"/>
              <w:rPr>
                <w:rFonts w:hint="eastAsia" w:ascii="宋体" w:hAnsi="宋体" w:eastAsia="宋体" w:cs="宋体"/>
                <w:spacing w:val="-2"/>
                <w:sz w:val="18"/>
                <w:szCs w:val="18"/>
              </w:rPr>
            </w:pPr>
            <w:r>
              <w:rPr>
                <w:rFonts w:hint="eastAsia" w:ascii="宋体" w:hAnsi="宋体" w:eastAsia="宋体" w:cs="宋体"/>
                <w:spacing w:val="-2"/>
                <w:sz w:val="18"/>
                <w:szCs w:val="18"/>
              </w:rPr>
              <w:t>结算审计规范</w:t>
            </w:r>
          </w:p>
        </w:tc>
        <w:tc>
          <w:tcPr>
            <w:tcW w:w="1462" w:type="dxa"/>
            <w:noWrap w:val="0"/>
            <w:vAlign w:val="top"/>
          </w:tcPr>
          <w:p w14:paraId="63C1D507">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41A6DAFE">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7D33772">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7BCD0E84">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14323DCA">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05183D81">
            <w:pPr>
              <w:pStyle w:val="8"/>
              <w:keepNext w:val="0"/>
              <w:keepLines w:val="0"/>
              <w:pageBreakBefore w:val="0"/>
              <w:widowControl/>
              <w:kinsoku w:val="0"/>
              <w:wordWrap/>
              <w:overflowPunct/>
              <w:topLinePunct w:val="0"/>
              <w:autoSpaceDE w:val="0"/>
              <w:autoSpaceDN w:val="0"/>
              <w:bidi w:val="0"/>
              <w:spacing w:line="360" w:lineRule="auto"/>
            </w:pPr>
          </w:p>
        </w:tc>
      </w:tr>
      <w:tr w14:paraId="327D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5C1469D5">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10</w:t>
            </w:r>
          </w:p>
        </w:tc>
        <w:tc>
          <w:tcPr>
            <w:tcW w:w="1479" w:type="dxa"/>
            <w:vMerge w:val="continue"/>
            <w:tcBorders>
              <w:top w:val="nil"/>
              <w:left w:val="single" w:color="auto" w:sz="4" w:space="0"/>
              <w:bottom w:val="nil"/>
            </w:tcBorders>
            <w:noWrap w:val="0"/>
            <w:vAlign w:val="top"/>
          </w:tcPr>
          <w:p w14:paraId="5212DA9D">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29C0049A">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53FF78A1">
            <w:pPr>
              <w:keepNext w:val="0"/>
              <w:keepLines w:val="0"/>
              <w:pageBreakBefore w:val="0"/>
              <w:widowControl/>
              <w:kinsoku w:val="0"/>
              <w:wordWrap/>
              <w:overflowPunct/>
              <w:topLinePunct w:val="0"/>
              <w:autoSpaceDE w:val="0"/>
              <w:autoSpaceDN w:val="0"/>
              <w:bidi w:val="0"/>
              <w:spacing w:before="47" w:line="360" w:lineRule="auto"/>
              <w:ind w:right="125"/>
              <w:jc w:val="left"/>
              <w:rPr>
                <w:rFonts w:hint="eastAsia" w:ascii="宋体" w:hAnsi="宋体" w:eastAsia="宋体" w:cs="宋体"/>
                <w:sz w:val="18"/>
                <w:szCs w:val="18"/>
              </w:rPr>
            </w:pPr>
            <w:r>
              <w:rPr>
                <w:rFonts w:hint="eastAsia" w:ascii="宋体" w:hAnsi="宋体" w:eastAsia="宋体" w:cs="宋体"/>
                <w:spacing w:val="-2"/>
                <w:sz w:val="18"/>
                <w:szCs w:val="18"/>
              </w:rPr>
              <w:t>全过程造价控制规</w:t>
            </w:r>
            <w:r>
              <w:rPr>
                <w:rFonts w:hint="eastAsia" w:ascii="宋体" w:hAnsi="宋体" w:eastAsia="宋体" w:cs="宋体"/>
                <w:sz w:val="18"/>
                <w:szCs w:val="18"/>
              </w:rPr>
              <w:t>范</w:t>
            </w:r>
          </w:p>
        </w:tc>
        <w:tc>
          <w:tcPr>
            <w:tcW w:w="1462" w:type="dxa"/>
            <w:noWrap w:val="0"/>
            <w:vAlign w:val="top"/>
          </w:tcPr>
          <w:p w14:paraId="72F91313">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435B84AA">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61A580E4">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1AFF038C">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77B8E6A9">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444FEA7A">
            <w:pPr>
              <w:pStyle w:val="8"/>
              <w:keepNext w:val="0"/>
              <w:keepLines w:val="0"/>
              <w:pageBreakBefore w:val="0"/>
              <w:widowControl/>
              <w:kinsoku w:val="0"/>
              <w:wordWrap/>
              <w:overflowPunct/>
              <w:topLinePunct w:val="0"/>
              <w:autoSpaceDE w:val="0"/>
              <w:autoSpaceDN w:val="0"/>
              <w:bidi w:val="0"/>
              <w:spacing w:line="360" w:lineRule="auto"/>
            </w:pPr>
          </w:p>
        </w:tc>
      </w:tr>
      <w:tr w14:paraId="35252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22D55E6F">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11</w:t>
            </w:r>
          </w:p>
        </w:tc>
        <w:tc>
          <w:tcPr>
            <w:tcW w:w="1479" w:type="dxa"/>
            <w:vMerge w:val="continue"/>
            <w:tcBorders>
              <w:top w:val="nil"/>
              <w:left w:val="single" w:color="auto" w:sz="4" w:space="0"/>
              <w:bottom w:val="nil"/>
            </w:tcBorders>
            <w:noWrap w:val="0"/>
            <w:vAlign w:val="top"/>
          </w:tcPr>
          <w:p w14:paraId="7CF8DC02">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5465EEC8">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799" w:type="dxa"/>
            <w:noWrap w:val="0"/>
            <w:vAlign w:val="top"/>
          </w:tcPr>
          <w:p w14:paraId="0C72F1A4">
            <w:pPr>
              <w:keepNext w:val="0"/>
              <w:keepLines w:val="0"/>
              <w:pageBreakBefore w:val="0"/>
              <w:widowControl/>
              <w:kinsoku w:val="0"/>
              <w:wordWrap/>
              <w:overflowPunct/>
              <w:topLinePunct w:val="0"/>
              <w:autoSpaceDE w:val="0"/>
              <w:autoSpaceDN w:val="0"/>
              <w:bidi w:val="0"/>
              <w:spacing w:before="31" w:line="360" w:lineRule="auto"/>
              <w:ind w:right="125"/>
              <w:jc w:val="left"/>
              <w:rPr>
                <w:rFonts w:hint="eastAsia" w:ascii="宋体" w:hAnsi="宋体" w:eastAsia="宋体" w:cs="宋体"/>
                <w:sz w:val="18"/>
                <w:szCs w:val="18"/>
              </w:rPr>
            </w:pPr>
            <w:r>
              <w:rPr>
                <w:rFonts w:hint="eastAsia" w:ascii="宋体" w:hAnsi="宋体" w:eastAsia="宋体" w:cs="宋体"/>
                <w:spacing w:val="-2"/>
                <w:sz w:val="18"/>
                <w:szCs w:val="18"/>
              </w:rPr>
              <w:t>变更经济性分析规</w:t>
            </w:r>
            <w:r>
              <w:rPr>
                <w:rFonts w:hint="eastAsia" w:ascii="宋体" w:hAnsi="宋体" w:eastAsia="宋体" w:cs="宋体"/>
                <w:sz w:val="18"/>
                <w:szCs w:val="18"/>
              </w:rPr>
              <w:t>范</w:t>
            </w:r>
          </w:p>
        </w:tc>
        <w:tc>
          <w:tcPr>
            <w:tcW w:w="1462" w:type="dxa"/>
            <w:noWrap w:val="0"/>
            <w:vAlign w:val="top"/>
          </w:tcPr>
          <w:p w14:paraId="58F0CBF3">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3460EF39">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42EAFF99">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349E6302">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1B24ED3C">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18C5741F">
            <w:pPr>
              <w:pStyle w:val="8"/>
              <w:keepNext w:val="0"/>
              <w:keepLines w:val="0"/>
              <w:pageBreakBefore w:val="0"/>
              <w:widowControl/>
              <w:kinsoku w:val="0"/>
              <w:wordWrap/>
              <w:overflowPunct/>
              <w:topLinePunct w:val="0"/>
              <w:autoSpaceDE w:val="0"/>
              <w:autoSpaceDN w:val="0"/>
              <w:bidi w:val="0"/>
              <w:spacing w:line="360" w:lineRule="auto"/>
            </w:pPr>
          </w:p>
        </w:tc>
      </w:tr>
      <w:tr w14:paraId="2D0A5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26F39FA2">
            <w:pPr>
              <w:pStyle w:val="8"/>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z w:val="18"/>
                <w:szCs w:val="18"/>
                <w:lang w:val="en-US" w:eastAsia="zh-CN"/>
              </w:rPr>
              <w:t>12</w:t>
            </w:r>
          </w:p>
        </w:tc>
        <w:tc>
          <w:tcPr>
            <w:tcW w:w="1479" w:type="dxa"/>
            <w:vMerge w:val="continue"/>
            <w:tcBorders>
              <w:top w:val="nil"/>
              <w:left w:val="single" w:color="auto" w:sz="4" w:space="0"/>
            </w:tcBorders>
            <w:noWrap w:val="0"/>
            <w:vAlign w:val="top"/>
          </w:tcPr>
          <w:p w14:paraId="5D88EC30">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0F3C5BD7">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55D49CF6">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49FFBF0A">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5CDF01DA">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16328846">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1B0C9E6B">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50E72E22">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239F4C40">
            <w:pPr>
              <w:pStyle w:val="8"/>
              <w:keepNext w:val="0"/>
              <w:keepLines w:val="0"/>
              <w:pageBreakBefore w:val="0"/>
              <w:widowControl/>
              <w:kinsoku w:val="0"/>
              <w:wordWrap/>
              <w:overflowPunct/>
              <w:topLinePunct w:val="0"/>
              <w:autoSpaceDE w:val="0"/>
              <w:autoSpaceDN w:val="0"/>
              <w:bidi w:val="0"/>
              <w:spacing w:line="360" w:lineRule="auto"/>
            </w:pPr>
          </w:p>
        </w:tc>
      </w:tr>
      <w:tr w14:paraId="75269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7AEA4B86">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pacing w:val="4"/>
                <w:sz w:val="18"/>
                <w:szCs w:val="18"/>
                <w:lang w:val="en-US" w:eastAsia="zh-CN"/>
              </w:rPr>
            </w:pPr>
            <w:r>
              <w:rPr>
                <w:rFonts w:hint="eastAsia" w:ascii="宋体" w:hAnsi="宋体" w:eastAsia="宋体" w:cs="宋体"/>
                <w:spacing w:val="4"/>
                <w:sz w:val="18"/>
                <w:szCs w:val="18"/>
                <w:lang w:val="en-US" w:eastAsia="zh-CN"/>
              </w:rPr>
              <w:t>13</w:t>
            </w:r>
          </w:p>
        </w:tc>
        <w:tc>
          <w:tcPr>
            <w:tcW w:w="1479" w:type="dxa"/>
            <w:vMerge w:val="restart"/>
            <w:tcBorders>
              <w:left w:val="single" w:color="auto" w:sz="4" w:space="0"/>
              <w:bottom w:val="nil"/>
            </w:tcBorders>
            <w:noWrap w:val="0"/>
            <w:vAlign w:val="top"/>
          </w:tcPr>
          <w:p w14:paraId="52BF7689">
            <w:pPr>
              <w:keepNext w:val="0"/>
              <w:keepLines w:val="0"/>
              <w:pageBreakBefore w:val="0"/>
              <w:widowControl/>
              <w:kinsoku w:val="0"/>
              <w:wordWrap/>
              <w:overflowPunct/>
              <w:topLinePunct w:val="0"/>
              <w:autoSpaceDE w:val="0"/>
              <w:autoSpaceDN w:val="0"/>
              <w:bidi w:val="0"/>
              <w:spacing w:before="68" w:line="360" w:lineRule="auto"/>
              <w:ind w:left="109" w:right="168" w:firstLine="80"/>
              <w:jc w:val="both"/>
              <w:rPr>
                <w:rFonts w:hint="eastAsia" w:ascii="宋体" w:hAnsi="宋体" w:eastAsia="宋体" w:cs="宋体"/>
                <w:sz w:val="18"/>
                <w:szCs w:val="18"/>
              </w:rPr>
            </w:pPr>
            <w:r>
              <w:rPr>
                <w:rFonts w:hint="eastAsia" w:ascii="宋体" w:hAnsi="宋体" w:eastAsia="宋体" w:cs="宋体"/>
                <w:spacing w:val="4"/>
                <w:sz w:val="18"/>
                <w:szCs w:val="18"/>
              </w:rPr>
              <w:t>203信息</w:t>
            </w:r>
            <w:r>
              <w:rPr>
                <w:rFonts w:hint="eastAsia" w:ascii="宋体" w:hAnsi="宋体" w:eastAsia="宋体" w:cs="宋体"/>
                <w:spacing w:val="5"/>
                <w:sz w:val="18"/>
                <w:szCs w:val="18"/>
              </w:rPr>
              <w:t>化项目技术参数评</w:t>
            </w:r>
            <w:r>
              <w:rPr>
                <w:rFonts w:hint="eastAsia" w:ascii="宋体" w:hAnsi="宋体" w:eastAsia="宋体" w:cs="宋体"/>
                <w:spacing w:val="4"/>
                <w:sz w:val="18"/>
                <w:szCs w:val="18"/>
              </w:rPr>
              <w:t>审规范</w:t>
            </w:r>
          </w:p>
        </w:tc>
        <w:tc>
          <w:tcPr>
            <w:tcW w:w="1596" w:type="dxa"/>
            <w:noWrap w:val="0"/>
            <w:vAlign w:val="top"/>
          </w:tcPr>
          <w:p w14:paraId="1A83F146">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2FC0115F">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6B83577">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5FB12FF6">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62746F59">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45022E6E">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16ADF450">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2049C435">
            <w:pPr>
              <w:pStyle w:val="8"/>
              <w:keepNext w:val="0"/>
              <w:keepLines w:val="0"/>
              <w:pageBreakBefore w:val="0"/>
              <w:widowControl/>
              <w:kinsoku w:val="0"/>
              <w:wordWrap/>
              <w:overflowPunct/>
              <w:topLinePunct w:val="0"/>
              <w:autoSpaceDE w:val="0"/>
              <w:autoSpaceDN w:val="0"/>
              <w:bidi w:val="0"/>
              <w:spacing w:line="360" w:lineRule="auto"/>
            </w:pPr>
          </w:p>
        </w:tc>
      </w:tr>
      <w:tr w14:paraId="47147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B16F1CF">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c>
          <w:tcPr>
            <w:tcW w:w="1479" w:type="dxa"/>
            <w:vMerge w:val="continue"/>
            <w:tcBorders>
              <w:top w:val="nil"/>
              <w:left w:val="single" w:color="auto" w:sz="4" w:space="0"/>
              <w:bottom w:val="nil"/>
            </w:tcBorders>
            <w:noWrap w:val="0"/>
            <w:vAlign w:val="top"/>
          </w:tcPr>
          <w:p w14:paraId="7ED5831A">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28207F06">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7A0D8F62">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D349615">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337A9D06">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6AFE1213">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5B91853C">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3157CF3A">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5D43DDAB">
            <w:pPr>
              <w:pStyle w:val="8"/>
              <w:keepNext w:val="0"/>
              <w:keepLines w:val="0"/>
              <w:pageBreakBefore w:val="0"/>
              <w:widowControl/>
              <w:kinsoku w:val="0"/>
              <w:wordWrap/>
              <w:overflowPunct/>
              <w:topLinePunct w:val="0"/>
              <w:autoSpaceDE w:val="0"/>
              <w:autoSpaceDN w:val="0"/>
              <w:bidi w:val="0"/>
              <w:spacing w:line="360" w:lineRule="auto"/>
            </w:pPr>
          </w:p>
        </w:tc>
      </w:tr>
      <w:tr w14:paraId="1A2BF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1C1C5250">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1479" w:type="dxa"/>
            <w:vMerge w:val="continue"/>
            <w:tcBorders>
              <w:top w:val="nil"/>
              <w:left w:val="single" w:color="auto" w:sz="4" w:space="0"/>
              <w:bottom w:val="nil"/>
            </w:tcBorders>
            <w:noWrap w:val="0"/>
            <w:vAlign w:val="top"/>
          </w:tcPr>
          <w:p w14:paraId="4B3564D8">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15AB6540">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52FAC2AE">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2215CC21">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00ECA29A">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48EA043B">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1AF7D92A">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581275AF">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7439550A">
            <w:pPr>
              <w:pStyle w:val="8"/>
              <w:keepNext w:val="0"/>
              <w:keepLines w:val="0"/>
              <w:pageBreakBefore w:val="0"/>
              <w:widowControl/>
              <w:kinsoku w:val="0"/>
              <w:wordWrap/>
              <w:overflowPunct/>
              <w:topLinePunct w:val="0"/>
              <w:autoSpaceDE w:val="0"/>
              <w:autoSpaceDN w:val="0"/>
              <w:bidi w:val="0"/>
              <w:spacing w:line="360" w:lineRule="auto"/>
            </w:pPr>
          </w:p>
        </w:tc>
      </w:tr>
      <w:tr w14:paraId="567A0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73FFF309">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1479" w:type="dxa"/>
            <w:vMerge w:val="continue"/>
            <w:tcBorders>
              <w:top w:val="nil"/>
              <w:left w:val="single" w:color="auto" w:sz="4" w:space="0"/>
              <w:bottom w:val="nil"/>
            </w:tcBorders>
            <w:noWrap w:val="0"/>
            <w:vAlign w:val="top"/>
          </w:tcPr>
          <w:p w14:paraId="4A7C79D2">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326B7CBA">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44F9EBAF">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53CDF747">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0BD395AE">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236605EB">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DC2F36F">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588B9A17">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400F2D36">
            <w:pPr>
              <w:pStyle w:val="8"/>
              <w:keepNext w:val="0"/>
              <w:keepLines w:val="0"/>
              <w:pageBreakBefore w:val="0"/>
              <w:widowControl/>
              <w:kinsoku w:val="0"/>
              <w:wordWrap/>
              <w:overflowPunct/>
              <w:topLinePunct w:val="0"/>
              <w:autoSpaceDE w:val="0"/>
              <w:autoSpaceDN w:val="0"/>
              <w:bidi w:val="0"/>
              <w:spacing w:line="360" w:lineRule="auto"/>
            </w:pPr>
          </w:p>
        </w:tc>
      </w:tr>
      <w:tr w14:paraId="47504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79917A8">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w:t>
            </w:r>
          </w:p>
        </w:tc>
        <w:tc>
          <w:tcPr>
            <w:tcW w:w="1479" w:type="dxa"/>
            <w:vMerge w:val="continue"/>
            <w:tcBorders>
              <w:top w:val="nil"/>
              <w:left w:val="single" w:color="auto" w:sz="4" w:space="0"/>
              <w:bottom w:val="nil"/>
            </w:tcBorders>
            <w:noWrap w:val="0"/>
            <w:vAlign w:val="top"/>
          </w:tcPr>
          <w:p w14:paraId="05D185B7">
            <w:pPr>
              <w:pStyle w:val="8"/>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sz w:val="18"/>
                <w:szCs w:val="18"/>
              </w:rPr>
            </w:pPr>
          </w:p>
        </w:tc>
        <w:tc>
          <w:tcPr>
            <w:tcW w:w="1596" w:type="dxa"/>
            <w:noWrap w:val="0"/>
            <w:vAlign w:val="top"/>
          </w:tcPr>
          <w:p w14:paraId="35767757">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43BF0A1B">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CB36796">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00F27EBA">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7E1BD8D7">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682BBD1C">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02450351">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4736D773">
            <w:pPr>
              <w:pStyle w:val="8"/>
              <w:keepNext w:val="0"/>
              <w:keepLines w:val="0"/>
              <w:pageBreakBefore w:val="0"/>
              <w:widowControl/>
              <w:kinsoku w:val="0"/>
              <w:wordWrap/>
              <w:overflowPunct/>
              <w:topLinePunct w:val="0"/>
              <w:autoSpaceDE w:val="0"/>
              <w:autoSpaceDN w:val="0"/>
              <w:bidi w:val="0"/>
              <w:spacing w:line="360" w:lineRule="auto"/>
            </w:pPr>
          </w:p>
        </w:tc>
      </w:tr>
      <w:tr w14:paraId="052CF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656" w:type="dxa"/>
            <w:tcBorders>
              <w:top w:val="single" w:color="auto" w:sz="4" w:space="0"/>
              <w:left w:val="single" w:color="auto" w:sz="4" w:space="0"/>
              <w:bottom w:val="single" w:color="auto" w:sz="4" w:space="0"/>
              <w:right w:val="single" w:color="auto" w:sz="4" w:space="0"/>
            </w:tcBorders>
            <w:noWrap w:val="0"/>
            <w:vAlign w:val="top"/>
          </w:tcPr>
          <w:p w14:paraId="3221123E">
            <w:pPr>
              <w:keepNext w:val="0"/>
              <w:keepLines w:val="0"/>
              <w:pageBreakBefore w:val="0"/>
              <w:widowControl/>
              <w:kinsoku w:val="0"/>
              <w:wordWrap/>
              <w:overflowPunct/>
              <w:topLinePunct w:val="0"/>
              <w:autoSpaceDE w:val="0"/>
              <w:autoSpaceDN w:val="0"/>
              <w:bidi w:val="0"/>
              <w:spacing w:line="360" w:lineRule="auto"/>
              <w:jc w:val="center"/>
              <w:rPr>
                <w:rFonts w:hint="default" w:eastAsia="宋体"/>
                <w:lang w:val="en-US" w:eastAsia="zh-CN"/>
              </w:rPr>
            </w:pPr>
            <w:r>
              <w:rPr>
                <w:rFonts w:hint="eastAsia" w:ascii="宋体" w:hAnsi="宋体" w:eastAsia="宋体" w:cs="宋体"/>
                <w:sz w:val="18"/>
                <w:szCs w:val="18"/>
                <w:lang w:val="en-US" w:eastAsia="zh-CN"/>
              </w:rPr>
              <w:t>18</w:t>
            </w:r>
          </w:p>
        </w:tc>
        <w:tc>
          <w:tcPr>
            <w:tcW w:w="1479" w:type="dxa"/>
            <w:vMerge w:val="continue"/>
            <w:tcBorders>
              <w:top w:val="nil"/>
              <w:left w:val="single" w:color="auto" w:sz="4" w:space="0"/>
            </w:tcBorders>
            <w:noWrap w:val="0"/>
            <w:vAlign w:val="top"/>
          </w:tcPr>
          <w:p w14:paraId="4D35B646">
            <w:pPr>
              <w:pStyle w:val="8"/>
              <w:keepNext w:val="0"/>
              <w:keepLines w:val="0"/>
              <w:pageBreakBefore w:val="0"/>
              <w:widowControl/>
              <w:kinsoku w:val="0"/>
              <w:wordWrap/>
              <w:overflowPunct/>
              <w:topLinePunct w:val="0"/>
              <w:autoSpaceDE w:val="0"/>
              <w:autoSpaceDN w:val="0"/>
              <w:bidi w:val="0"/>
              <w:spacing w:line="360" w:lineRule="auto"/>
            </w:pPr>
          </w:p>
        </w:tc>
        <w:tc>
          <w:tcPr>
            <w:tcW w:w="1596" w:type="dxa"/>
            <w:noWrap w:val="0"/>
            <w:vAlign w:val="top"/>
          </w:tcPr>
          <w:p w14:paraId="57BCAEEF">
            <w:pPr>
              <w:pStyle w:val="8"/>
              <w:keepNext w:val="0"/>
              <w:keepLines w:val="0"/>
              <w:pageBreakBefore w:val="0"/>
              <w:widowControl/>
              <w:kinsoku w:val="0"/>
              <w:wordWrap/>
              <w:overflowPunct/>
              <w:topLinePunct w:val="0"/>
              <w:autoSpaceDE w:val="0"/>
              <w:autoSpaceDN w:val="0"/>
              <w:bidi w:val="0"/>
              <w:spacing w:line="360" w:lineRule="auto"/>
            </w:pPr>
          </w:p>
        </w:tc>
        <w:tc>
          <w:tcPr>
            <w:tcW w:w="1799" w:type="dxa"/>
            <w:noWrap w:val="0"/>
            <w:vAlign w:val="top"/>
          </w:tcPr>
          <w:p w14:paraId="6C876CD1">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2D1632CD">
            <w:pPr>
              <w:pStyle w:val="8"/>
              <w:keepNext w:val="0"/>
              <w:keepLines w:val="0"/>
              <w:pageBreakBefore w:val="0"/>
              <w:widowControl/>
              <w:kinsoku w:val="0"/>
              <w:wordWrap/>
              <w:overflowPunct/>
              <w:topLinePunct w:val="0"/>
              <w:autoSpaceDE w:val="0"/>
              <w:autoSpaceDN w:val="0"/>
              <w:bidi w:val="0"/>
              <w:spacing w:line="360" w:lineRule="auto"/>
            </w:pPr>
          </w:p>
        </w:tc>
        <w:tc>
          <w:tcPr>
            <w:tcW w:w="1395" w:type="dxa"/>
            <w:noWrap w:val="0"/>
            <w:vAlign w:val="top"/>
          </w:tcPr>
          <w:p w14:paraId="6D8E8887">
            <w:pPr>
              <w:pStyle w:val="8"/>
              <w:keepNext w:val="0"/>
              <w:keepLines w:val="0"/>
              <w:pageBreakBefore w:val="0"/>
              <w:widowControl/>
              <w:kinsoku w:val="0"/>
              <w:wordWrap/>
              <w:overflowPunct/>
              <w:topLinePunct w:val="0"/>
              <w:autoSpaceDE w:val="0"/>
              <w:autoSpaceDN w:val="0"/>
              <w:bidi w:val="0"/>
              <w:spacing w:line="360" w:lineRule="auto"/>
            </w:pPr>
          </w:p>
        </w:tc>
        <w:tc>
          <w:tcPr>
            <w:tcW w:w="1462" w:type="dxa"/>
            <w:noWrap w:val="0"/>
            <w:vAlign w:val="top"/>
          </w:tcPr>
          <w:p w14:paraId="320A6879">
            <w:pPr>
              <w:pStyle w:val="8"/>
              <w:keepNext w:val="0"/>
              <w:keepLines w:val="0"/>
              <w:pageBreakBefore w:val="0"/>
              <w:widowControl/>
              <w:kinsoku w:val="0"/>
              <w:wordWrap/>
              <w:overflowPunct/>
              <w:topLinePunct w:val="0"/>
              <w:autoSpaceDE w:val="0"/>
              <w:autoSpaceDN w:val="0"/>
              <w:bidi w:val="0"/>
              <w:spacing w:line="360" w:lineRule="auto"/>
            </w:pPr>
          </w:p>
        </w:tc>
        <w:tc>
          <w:tcPr>
            <w:tcW w:w="2101" w:type="dxa"/>
            <w:noWrap w:val="0"/>
            <w:vAlign w:val="top"/>
          </w:tcPr>
          <w:p w14:paraId="299E88E0">
            <w:pPr>
              <w:pStyle w:val="8"/>
              <w:keepNext w:val="0"/>
              <w:keepLines w:val="0"/>
              <w:pageBreakBefore w:val="0"/>
              <w:widowControl/>
              <w:kinsoku w:val="0"/>
              <w:wordWrap/>
              <w:overflowPunct/>
              <w:topLinePunct w:val="0"/>
              <w:autoSpaceDE w:val="0"/>
              <w:autoSpaceDN w:val="0"/>
              <w:bidi w:val="0"/>
              <w:spacing w:line="360" w:lineRule="auto"/>
            </w:pPr>
          </w:p>
        </w:tc>
        <w:tc>
          <w:tcPr>
            <w:tcW w:w="1126" w:type="dxa"/>
            <w:noWrap w:val="0"/>
            <w:vAlign w:val="top"/>
          </w:tcPr>
          <w:p w14:paraId="72CE3022">
            <w:pPr>
              <w:pStyle w:val="8"/>
              <w:keepNext w:val="0"/>
              <w:keepLines w:val="0"/>
              <w:pageBreakBefore w:val="0"/>
              <w:widowControl/>
              <w:kinsoku w:val="0"/>
              <w:wordWrap/>
              <w:overflowPunct/>
              <w:topLinePunct w:val="0"/>
              <w:autoSpaceDE w:val="0"/>
              <w:autoSpaceDN w:val="0"/>
              <w:bidi w:val="0"/>
              <w:spacing w:line="360" w:lineRule="auto"/>
            </w:pPr>
          </w:p>
        </w:tc>
        <w:tc>
          <w:tcPr>
            <w:tcW w:w="1309" w:type="dxa"/>
            <w:noWrap w:val="0"/>
            <w:vAlign w:val="top"/>
          </w:tcPr>
          <w:p w14:paraId="253990E7">
            <w:pPr>
              <w:pStyle w:val="8"/>
              <w:keepNext w:val="0"/>
              <w:keepLines w:val="0"/>
              <w:pageBreakBefore w:val="0"/>
              <w:widowControl/>
              <w:kinsoku w:val="0"/>
              <w:wordWrap/>
              <w:overflowPunct/>
              <w:topLinePunct w:val="0"/>
              <w:autoSpaceDE w:val="0"/>
              <w:autoSpaceDN w:val="0"/>
              <w:bidi w:val="0"/>
              <w:spacing w:line="360" w:lineRule="auto"/>
            </w:pPr>
          </w:p>
        </w:tc>
      </w:tr>
    </w:tbl>
    <w:p w14:paraId="534304D3">
      <w:pPr>
        <w:keepNext w:val="0"/>
        <w:keepLines w:val="0"/>
        <w:pageBreakBefore w:val="0"/>
        <w:widowControl/>
        <w:kinsoku w:val="0"/>
        <w:wordWrap/>
        <w:overflowPunct/>
        <w:topLinePunct w:val="0"/>
        <w:autoSpaceDE w:val="0"/>
        <w:autoSpaceDN w:val="0"/>
        <w:bidi w:val="0"/>
        <w:spacing w:line="360" w:lineRule="auto"/>
        <w:sectPr>
          <w:headerReference r:id="rId14" w:type="default"/>
          <w:footerReference r:id="rId15" w:type="default"/>
          <w:pgSz w:w="16832" w:h="11900" w:orient="landscape"/>
          <w:pgMar w:top="850" w:right="1134" w:bottom="850" w:left="1134" w:header="0" w:footer="1128" w:gutter="0"/>
          <w:paperSrc/>
          <w:pgNumType w:fmt="decimal"/>
          <w:cols w:space="720" w:num="1"/>
          <w:rtlGutter w:val="0"/>
          <w:docGrid w:linePitch="0" w:charSpace="0"/>
        </w:sectPr>
      </w:pPr>
    </w:p>
    <w:p w14:paraId="64FBC7C2">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bookmarkStart w:id="60" w:name="bookmark50"/>
      <w:bookmarkEnd w:id="60"/>
      <w:r>
        <w:rPr>
          <w:rFonts w:hint="eastAsia" w:ascii="宋体" w:hAnsi="宋体" w:eastAsia="宋体" w:cs="宋体"/>
          <w:b w:val="0"/>
          <w:bCs w:val="0"/>
          <w:spacing w:val="-9"/>
          <w:sz w:val="21"/>
          <w:szCs w:val="21"/>
          <w:lang w:eastAsia="zh-CN"/>
        </w:rPr>
        <w:t>T/XXXX-2025</w:t>
      </w:r>
    </w:p>
    <w:p w14:paraId="0AF8B3BB">
      <w:pPr>
        <w:keepNext w:val="0"/>
        <w:keepLines w:val="0"/>
        <w:pageBreakBefore w:val="0"/>
        <w:widowControl/>
        <w:kinsoku w:val="0"/>
        <w:wordWrap/>
        <w:overflowPunct/>
        <w:topLinePunct w:val="0"/>
        <w:autoSpaceDE w:val="0"/>
        <w:autoSpaceDN w:val="0"/>
        <w:bidi w:val="0"/>
        <w:spacing w:before="68" w:line="360" w:lineRule="auto"/>
        <w:jc w:val="center"/>
        <w:outlineLvl w:val="0"/>
        <w:rPr>
          <w:rFonts w:hint="default"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表C.3特定对象及行业标准子体系标</w:t>
      </w:r>
    </w:p>
    <w:p w14:paraId="79D95036">
      <w:pPr>
        <w:keepNext w:val="0"/>
        <w:keepLines w:val="0"/>
        <w:pageBreakBefore w:val="0"/>
        <w:widowControl/>
        <w:kinsoku w:val="0"/>
        <w:wordWrap/>
        <w:overflowPunct/>
        <w:topLinePunct w:val="0"/>
        <w:autoSpaceDE w:val="0"/>
        <w:autoSpaceDN w:val="0"/>
        <w:bidi w:val="0"/>
        <w:spacing w:line="360" w:lineRule="auto"/>
      </w:pPr>
    </w:p>
    <w:tbl>
      <w:tblPr>
        <w:tblStyle w:val="5"/>
        <w:tblW w:w="143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4"/>
        <w:gridCol w:w="1476"/>
        <w:gridCol w:w="1582"/>
        <w:gridCol w:w="1832"/>
        <w:gridCol w:w="1429"/>
        <w:gridCol w:w="1412"/>
        <w:gridCol w:w="1378"/>
        <w:gridCol w:w="2151"/>
        <w:gridCol w:w="1126"/>
        <w:gridCol w:w="1311"/>
      </w:tblGrid>
      <w:tr w14:paraId="271E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ED2F37A">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序号</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14:paraId="79D8EA99">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子体系名称</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9F69943">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标准体系编号</w:t>
            </w: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23DCD9A">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标准名称</w:t>
            </w: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46EADA6">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发布日期</w:t>
            </w: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60B6B3A">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实施日期</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EB18D93">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主管部门</w:t>
            </w: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0DEE726F">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国家、行业、地方团体标准、地方文件编号</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7B4B010">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标准状态</w:t>
            </w: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32F9C094">
            <w:pPr>
              <w:keepNext w:val="0"/>
              <w:keepLines w:val="0"/>
              <w:pageBreakBefore w:val="0"/>
              <w:widowControl/>
              <w:suppressLineNumbers w:val="0"/>
              <w:kinsoku w:val="0"/>
              <w:wordWrap/>
              <w:overflowPunct/>
              <w:topLinePunct w:val="0"/>
              <w:autoSpaceDE w:val="0"/>
              <w:autoSpaceDN w:val="0"/>
              <w:bidi w:val="0"/>
              <w:spacing w:line="360" w:lineRule="auto"/>
              <w:jc w:val="both"/>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备注</w:t>
            </w:r>
          </w:p>
        </w:tc>
      </w:tr>
      <w:tr w14:paraId="3B88E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21ADCAC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14:paraId="6F8AF30B">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301软件开发费用测算规范</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AC8C667">
            <w:pPr>
              <w:keepNext w:val="0"/>
              <w:keepLines w:val="0"/>
              <w:pageBreakBefore w:val="0"/>
              <w:widowControl/>
              <w:kinsoku w:val="0"/>
              <w:wordWrap/>
              <w:overflowPunct/>
              <w:topLinePunct w:val="0"/>
              <w:autoSpaceDE w:val="0"/>
              <w:autoSpaceDN w:val="0"/>
              <w:bidi w:val="0"/>
              <w:spacing w:line="360" w:lineRule="auto"/>
              <w:jc w:val="left"/>
              <w:rPr>
                <w:rFonts w:hint="eastAsia"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3B0B2E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988D30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6BAEA4E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222F6C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B5B1F0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D6CC8A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5AF7B41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E8C1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2D41566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6177C2">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E51B1F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C73E15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A6DD90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04AA68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6294BC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0DFA019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16DE45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6F67E62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3924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693929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F45FD">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E87195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34D10C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C3AAB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8F0372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007E8C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B61DB7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9D300E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07CFF4E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62E2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4254E23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A6DDA2">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4BD414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2851F4F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D0F880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60DF87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0B25DF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D63D40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21C3029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7BADA33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DF00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6E4E6D0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9C8F9">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0CC8F7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974C79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33834A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0B9E46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B660F5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6E81692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F53A3E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2FE1307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A295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2207C48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3AC3B">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8B8564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C6249A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3FF5EB4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48D773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EB1FF8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6F33881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9DE50E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7F785A7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F572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582132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14:paraId="59159A3C">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302信息系统运行维护费用测算规范</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9464DF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C5CC2B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DF4A80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69BDB2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C12BF4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C45893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C5BEDD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7D6BEB6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ABFB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88AF06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01DBA">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60D3E19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113B5F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DF35F1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99EDBA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68B144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3DF37C2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85BF4D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7B1B4BA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3ED3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297988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588FA3">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20196E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1E9A5F2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B7C04A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4ADCCE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B525EE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27E2186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04437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6F61D66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19ED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322C44D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E1717A">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E327D4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0B1BC19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FB4BC4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A89C01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094EFE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20ED4C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24C9660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0E8FF89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D177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50CF0F22">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5EED4D">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E06EC9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01F40A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F27722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31B4DC0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121D39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3C41367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B88A15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24A575F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32AF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60A6713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02715">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20D69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661E9C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CE1B5E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AB845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FC4C6B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20897A3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6A0535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685EA74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05C4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57A26C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14:paraId="2351A6D8">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303数据资源建设费用测算标准</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9E4077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191C584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D3D914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02E51C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434DBC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48C9EE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2D55A9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692318D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0941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7DA055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60D5F">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278720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AFF7ED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E58F84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B4FE5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78BC1F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2D86B4B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B54D44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1754FD8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CAD6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26BF579">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1D7298">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FF103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13FEF5F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CC893B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15FA1CD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EEFF1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03EAC5E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7263731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367056B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2299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6F83114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6697A">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E5CA27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1CA858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83F47C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EA0E7C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E92B1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F8C06C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7519A5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0276A5A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6932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32A60002">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FBA22">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C5DB33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0609513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978971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3551CF6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069411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FA298F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A06E00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44134CA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D6C4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3DAE119">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E71EED">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FD89E9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290FEE0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3DC18DC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99793E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06BC7B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311338C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8327A5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4A73EFA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5406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361D48E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14:paraId="634A2679">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304信创项目费用测算标准</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B31EF3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11E2E8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95AE2E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29470A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EC4CF3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066A81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7ADF49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586A1A6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3A3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64209BF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2707D">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025E45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3CC7D6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3C5266D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18F392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A77C70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BA9EF8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28DBCD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6D51202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204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6A49818C">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8E42B">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684F341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313C76F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3A4A495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DDA51F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6754C5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135A95D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C1592B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1CE18F7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CBD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60807B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E1FC2">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C1A371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329E437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AAFC09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3DA6AE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8F37A2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05CDA1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28453C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4252B06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3CA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58A3A1F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04862E">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C5F936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255F0FE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0FF216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17F8632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CCFB1A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6B798A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FEE54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73B7C48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776E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1E76F0D">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52528B">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C5D9D8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AB23E6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28CAED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1B9AC57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FB952B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67FF292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DA3BE4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2DCE4FC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618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5A7B227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14:paraId="6BE7B46E">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305其他特定行业或对象费用测算规范</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9E9E5D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DE54C3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379E97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D53ECB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60FAB1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52B7FBB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38AABC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0"/>
            <w:vAlign w:val="center"/>
          </w:tcPr>
          <w:p w14:paraId="36CAC5A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2334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3D3F356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3B741A">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846F74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25500C4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FA9AD2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935AE4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9800E1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5F175E1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3D2ADF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574879A3">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r w14:paraId="7F4F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2CB32D7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8F7C12">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C0B32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1253832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4D6E53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B1457B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9B53A8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30BAA78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0679B1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5AD1971F">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r w14:paraId="38C50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7DDFF7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25C95F">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5C412D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0B9C6AA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603166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62116C0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9A3E29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741F060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B641B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739F0705">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r w14:paraId="7C55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1738364D">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29</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76F2A">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D7B360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34B94A0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DAD12E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FAD1D4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06D176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640707C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CA55D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0FD82AC5">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r w14:paraId="2D0E5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54A08A3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w:t>
            </w: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62F9B0">
            <w:pPr>
              <w:keepNext w:val="0"/>
              <w:keepLines w:val="0"/>
              <w:pageBreakBefore w:val="0"/>
              <w:widowControl/>
              <w:kinsoku w:val="0"/>
              <w:wordWrap/>
              <w:overflowPunct/>
              <w:topLinePunct w:val="0"/>
              <w:autoSpaceDE w:val="0"/>
              <w:autoSpaceDN w:val="0"/>
              <w:bidi w:val="0"/>
              <w:spacing w:line="360" w:lineRule="auto"/>
              <w:jc w:val="left"/>
              <w:rPr>
                <w:rFonts w:hint="eastAsia" w:ascii="宋体" w:hAnsi="宋体" w:eastAsia="宋体" w:cs="宋体"/>
                <w:i w:val="0"/>
                <w:iCs w:val="0"/>
                <w:color w:val="000000"/>
                <w:sz w:val="18"/>
                <w:szCs w:val="18"/>
                <w:u w:val="none"/>
              </w:rPr>
            </w:pP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203BA1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512B8B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3E99A3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2155820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D95414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151" w:type="dxa"/>
            <w:tcBorders>
              <w:top w:val="single" w:color="000000" w:sz="4" w:space="0"/>
              <w:left w:val="single" w:color="000000" w:sz="4" w:space="0"/>
              <w:bottom w:val="single" w:color="000000" w:sz="4" w:space="0"/>
              <w:right w:val="single" w:color="000000" w:sz="4" w:space="0"/>
            </w:tcBorders>
            <w:noWrap w:val="0"/>
            <w:vAlign w:val="center"/>
          </w:tcPr>
          <w:p w14:paraId="3EC9929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E3FBC3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554BE0D1">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bl>
    <w:p w14:paraId="13BC3CF1">
      <w:pPr>
        <w:keepNext w:val="0"/>
        <w:keepLines w:val="0"/>
        <w:pageBreakBefore w:val="0"/>
        <w:widowControl/>
        <w:kinsoku w:val="0"/>
        <w:wordWrap/>
        <w:overflowPunct/>
        <w:topLinePunct w:val="0"/>
        <w:autoSpaceDE w:val="0"/>
        <w:autoSpaceDN w:val="0"/>
        <w:bidi w:val="0"/>
        <w:spacing w:line="360" w:lineRule="auto"/>
        <w:sectPr>
          <w:headerReference r:id="rId16" w:type="default"/>
          <w:footerReference r:id="rId17" w:type="default"/>
          <w:pgSz w:w="16832" w:h="11900" w:orient="landscape"/>
          <w:pgMar w:top="1134" w:right="850" w:bottom="1134" w:left="1134" w:header="0" w:footer="1128" w:gutter="0"/>
          <w:paperSrc/>
          <w:pgNumType w:fmt="decimal"/>
          <w:cols w:space="720" w:num="1"/>
          <w:rtlGutter w:val="0"/>
          <w:docGrid w:linePitch="0" w:charSpace="0"/>
        </w:sectPr>
      </w:pPr>
    </w:p>
    <w:p w14:paraId="62FCB075">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r>
        <w:rPr>
          <w:rFonts w:hint="eastAsia" w:ascii="宋体" w:hAnsi="宋体" w:eastAsia="宋体" w:cs="宋体"/>
          <w:b w:val="0"/>
          <w:bCs w:val="0"/>
          <w:spacing w:val="-9"/>
          <w:sz w:val="21"/>
          <w:szCs w:val="21"/>
          <w:lang w:eastAsia="zh-CN"/>
        </w:rPr>
        <w:t>T/XXXX-2025</w:t>
      </w:r>
    </w:p>
    <w:p w14:paraId="5786B3E7">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表C.4数智评审标准子体系标准明细表</w:t>
      </w:r>
    </w:p>
    <w:p w14:paraId="0E9186DD">
      <w:pPr>
        <w:keepNext w:val="0"/>
        <w:keepLines w:val="0"/>
        <w:pageBreakBefore w:val="0"/>
        <w:widowControl/>
        <w:kinsoku w:val="0"/>
        <w:wordWrap/>
        <w:overflowPunct/>
        <w:topLinePunct w:val="0"/>
        <w:autoSpaceDE w:val="0"/>
        <w:autoSpaceDN w:val="0"/>
        <w:bidi w:val="0"/>
        <w:spacing w:line="360" w:lineRule="auto"/>
      </w:pPr>
    </w:p>
    <w:tbl>
      <w:tblPr>
        <w:tblStyle w:val="5"/>
        <w:tblW w:w="510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1"/>
        <w:gridCol w:w="1058"/>
        <w:gridCol w:w="1209"/>
        <w:gridCol w:w="1343"/>
        <w:gridCol w:w="1041"/>
        <w:gridCol w:w="1041"/>
        <w:gridCol w:w="1041"/>
        <w:gridCol w:w="1547"/>
        <w:gridCol w:w="853"/>
        <w:gridCol w:w="949"/>
      </w:tblGrid>
      <w:tr w14:paraId="678D8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05"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12F03C01">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序号</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5F2FC621">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子体系名称</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61688E6">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标准体系编号</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7B6E6A87">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标准名称</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D0DE4D0">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发布日期</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625D3705">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实施日期</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AF24861">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主管部门</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081C6424">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国家、行业、地方团体标准、地方文件编号</w:t>
            </w: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5FE7FBCC">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标准状态</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33F559E5">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备注</w:t>
            </w:r>
          </w:p>
        </w:tc>
      </w:tr>
      <w:tr w14:paraId="57EF9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5"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6B972C99">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497" w:type="pct"/>
            <w:vMerge w:val="restart"/>
            <w:tcBorders>
              <w:top w:val="single" w:color="000000" w:sz="4" w:space="0"/>
              <w:left w:val="single" w:color="000000" w:sz="4" w:space="0"/>
              <w:bottom w:val="single" w:color="000000" w:sz="4" w:space="0"/>
              <w:right w:val="single" w:color="000000" w:sz="4" w:space="0"/>
            </w:tcBorders>
            <w:noWrap w:val="0"/>
            <w:vAlign w:val="center"/>
          </w:tcPr>
          <w:p w14:paraId="3576457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401信息化项目评审数智工具建设规范</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4730CCA9">
            <w:pPr>
              <w:keepNext w:val="0"/>
              <w:keepLines w:val="0"/>
              <w:pageBreakBefore w:val="0"/>
              <w:widowControl/>
              <w:kinsoku w:val="0"/>
              <w:wordWrap/>
              <w:overflowPunct/>
              <w:topLinePunct w:val="0"/>
              <w:autoSpaceDE w:val="0"/>
              <w:autoSpaceDN w:val="0"/>
              <w:bidi w:val="0"/>
              <w:spacing w:line="360" w:lineRule="auto"/>
              <w:jc w:val="left"/>
              <w:rPr>
                <w:rFonts w:hint="eastAsia"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0CE688B4">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信息化项目投资评审数智功能规范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B36BA6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77DB2F3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1D274A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50DF838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3E7150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23AD977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6515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5"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37AFB30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FDB747">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63F930F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4B1DAB4E">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信息化项目技术评审数智功能规范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95FA36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6447784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32DCCFE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2CF0DC8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1814A81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561F19C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003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340B8D7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1CBEF5">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6DBB55B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D1C0F40">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信息化项目评审工具接口与安全规范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B7B6F2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3C6C14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4E4BEA8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00D3BCE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2199D93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737359E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D45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0033FE5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41F6A0">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DC5C11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5990DB2">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信息化项目评审工具评估规范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F9DE0F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46835B1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692EEC7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097ECE6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1F1A597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5AD06DD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3C6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62ADEE1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EC6150">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31F0714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286D0A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0A0E64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316021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6C6BE0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6337D40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2FD25FB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1BDF64F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29D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10A3CBB8">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DFE125">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7C0C746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23EE657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35FDB40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3B7C1F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3015E54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71E9937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57F10E3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0C6CAA9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3E73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68EF14E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497" w:type="pct"/>
            <w:vMerge w:val="restart"/>
            <w:tcBorders>
              <w:top w:val="single" w:color="000000" w:sz="4" w:space="0"/>
              <w:left w:val="single" w:color="000000" w:sz="4" w:space="0"/>
              <w:bottom w:val="single" w:color="000000" w:sz="4" w:space="0"/>
              <w:right w:val="single" w:color="000000" w:sz="4" w:space="0"/>
            </w:tcBorders>
            <w:noWrap w:val="0"/>
            <w:vAlign w:val="center"/>
          </w:tcPr>
          <w:p w14:paraId="07F06E7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403信息化项目造价数据标准</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12BEFC1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120A758">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信息化项目造价数据质量控制规范</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43645AF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017A74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558A80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26C08AE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59BFE58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71391ED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A9C2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5"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47F7F50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1E9992">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3AE9B42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120C8401">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信息化项目造价数据交换共享标准</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7FCCA7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DAF634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7F8EDE6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56A90F5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2A48038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4DE7A15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3210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7C38040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EFDC0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055BD2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B668DF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2FEDF94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892455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22C2EC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3343204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3DB97B9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3F9C637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C550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7E11C9A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E458BD">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47D18B0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23D8DC0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6A8FC9A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7F58325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17AD2A3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584C6D4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0CD2A9C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797946A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4F7F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32DA5AF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40C7D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1411A80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393E77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0325307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412129B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287DB3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56551C7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1709BEB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73406C7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B77C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59" w:type="pct"/>
            <w:tcBorders>
              <w:top w:val="single" w:color="000000" w:sz="4" w:space="0"/>
              <w:left w:val="single" w:color="000000" w:sz="4" w:space="0"/>
              <w:bottom w:val="single" w:color="000000" w:sz="4" w:space="0"/>
              <w:right w:val="single" w:color="000000" w:sz="4" w:space="0"/>
            </w:tcBorders>
            <w:noWrap w:val="0"/>
            <w:vAlign w:val="center"/>
          </w:tcPr>
          <w:p w14:paraId="2DC8AAD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5FCF9A">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DE7406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55EF26E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56B56E4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26DCE86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202B9A3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08326BC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079E438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446" w:type="pct"/>
            <w:tcBorders>
              <w:top w:val="single" w:color="000000" w:sz="4" w:space="0"/>
              <w:left w:val="single" w:color="000000" w:sz="4" w:space="0"/>
              <w:bottom w:val="single" w:color="000000" w:sz="4" w:space="0"/>
              <w:right w:val="single" w:color="000000" w:sz="4" w:space="0"/>
            </w:tcBorders>
            <w:noWrap/>
            <w:vAlign w:val="center"/>
          </w:tcPr>
          <w:p w14:paraId="6997A7D8">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bl>
    <w:p w14:paraId="576A4657">
      <w:pPr>
        <w:pStyle w:val="2"/>
        <w:keepNext w:val="0"/>
        <w:keepLines w:val="0"/>
        <w:pageBreakBefore w:val="0"/>
        <w:widowControl/>
        <w:kinsoku w:val="0"/>
        <w:wordWrap/>
        <w:overflowPunct/>
        <w:topLinePunct w:val="0"/>
        <w:autoSpaceDE w:val="0"/>
        <w:autoSpaceDN w:val="0"/>
        <w:bidi w:val="0"/>
        <w:spacing w:line="360" w:lineRule="auto"/>
      </w:pPr>
    </w:p>
    <w:p w14:paraId="63BF39EE">
      <w:pPr>
        <w:keepNext w:val="0"/>
        <w:keepLines w:val="0"/>
        <w:pageBreakBefore w:val="0"/>
        <w:widowControl/>
        <w:kinsoku w:val="0"/>
        <w:wordWrap/>
        <w:overflowPunct/>
        <w:topLinePunct w:val="0"/>
        <w:autoSpaceDE w:val="0"/>
        <w:autoSpaceDN w:val="0"/>
        <w:bidi w:val="0"/>
        <w:spacing w:line="360" w:lineRule="auto"/>
        <w:sectPr>
          <w:headerReference r:id="rId18" w:type="default"/>
          <w:footerReference r:id="rId19" w:type="default"/>
          <w:pgSz w:w="11900" w:h="16832"/>
          <w:pgMar w:top="1134" w:right="850" w:bottom="1134" w:left="850" w:header="0" w:footer="1128" w:gutter="0"/>
          <w:paperSrc/>
          <w:pgNumType w:fmt="decimal"/>
          <w:cols w:space="720" w:num="1"/>
          <w:rtlGutter w:val="0"/>
          <w:docGrid w:linePitch="0" w:charSpace="0"/>
        </w:sectPr>
      </w:pPr>
    </w:p>
    <w:p w14:paraId="5289A387">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r>
        <w:rPr>
          <w:rFonts w:hint="eastAsia" w:ascii="宋体" w:hAnsi="宋体" w:eastAsia="宋体" w:cs="宋体"/>
          <w:b w:val="0"/>
          <w:bCs w:val="0"/>
          <w:spacing w:val="-9"/>
          <w:sz w:val="21"/>
          <w:szCs w:val="21"/>
          <w:lang w:eastAsia="zh-CN"/>
        </w:rPr>
        <w:t>T/XXXX-2025</w:t>
      </w:r>
    </w:p>
    <w:p w14:paraId="5668F416">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表C.5管理监督标准子体系标准明细表</w:t>
      </w:r>
    </w:p>
    <w:p w14:paraId="221529B4">
      <w:pPr>
        <w:keepNext w:val="0"/>
        <w:keepLines w:val="0"/>
        <w:pageBreakBefore w:val="0"/>
        <w:widowControl/>
        <w:kinsoku w:val="0"/>
        <w:wordWrap/>
        <w:overflowPunct/>
        <w:topLinePunct w:val="0"/>
        <w:autoSpaceDE w:val="0"/>
        <w:autoSpaceDN w:val="0"/>
        <w:bidi w:val="0"/>
        <w:spacing w:line="360" w:lineRule="auto"/>
      </w:pPr>
    </w:p>
    <w:tbl>
      <w:tblPr>
        <w:tblStyle w:val="5"/>
        <w:tblW w:w="14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1520"/>
        <w:gridCol w:w="1572"/>
        <w:gridCol w:w="1816"/>
        <w:gridCol w:w="1411"/>
        <w:gridCol w:w="1429"/>
        <w:gridCol w:w="1428"/>
        <w:gridCol w:w="2017"/>
        <w:gridCol w:w="1177"/>
        <w:gridCol w:w="1327"/>
      </w:tblGrid>
      <w:tr w14:paraId="09901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DD87E2">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序号</w:t>
            </w:r>
          </w:p>
        </w:tc>
        <w:tc>
          <w:tcPr>
            <w:tcW w:w="1520" w:type="dxa"/>
            <w:tcBorders>
              <w:top w:val="single" w:color="000000" w:sz="4" w:space="0"/>
              <w:left w:val="single" w:color="000000" w:sz="4" w:space="0"/>
              <w:bottom w:val="single" w:color="000000" w:sz="4" w:space="0"/>
              <w:right w:val="single" w:color="000000" w:sz="4" w:space="0"/>
            </w:tcBorders>
            <w:noWrap w:val="0"/>
            <w:vAlign w:val="center"/>
          </w:tcPr>
          <w:p w14:paraId="327E6587">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子体系名称</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2A95114D">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标准体系编号</w:t>
            </w: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504547BC">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标准名称</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7CECCF62">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发布日期</w:t>
            </w: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AE2BDBD">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实施日期</w:t>
            </w: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0B110E41">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主管部门</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B99967">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国家、行业、地方团体标准、地方文件编号</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C494DF9">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标准状态</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10A5C0E">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备注</w:t>
            </w:r>
          </w:p>
        </w:tc>
      </w:tr>
      <w:tr w14:paraId="429F6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77E5C3">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5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41FBFC8">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501信息化项目造价咨询机构管理规范</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15916C4C">
            <w:pPr>
              <w:keepNext w:val="0"/>
              <w:keepLines w:val="0"/>
              <w:pageBreakBefore w:val="0"/>
              <w:widowControl/>
              <w:kinsoku w:val="0"/>
              <w:wordWrap/>
              <w:overflowPunct/>
              <w:topLinePunct w:val="0"/>
              <w:autoSpaceDE w:val="0"/>
              <w:autoSpaceDN w:val="0"/>
              <w:bidi w:val="0"/>
              <w:spacing w:line="360" w:lineRule="auto"/>
              <w:jc w:val="left"/>
              <w:rPr>
                <w:rFonts w:hint="eastAsia"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7A3B7D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0D141C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1EB3E7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50FF0C5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043EED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6BFA58C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933155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633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BD5D81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AD96C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0995EDE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914D6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4BF182A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377236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41FD8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B7533C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5A6D26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5046D5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3AF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87015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D482A">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245EA7A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59A91CB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211D1B7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E1098C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14E885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2E1FD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3B5CFFA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1D59DE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3D75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2071A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371B9">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0284D0A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1A7F7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117FC24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3B650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2CB290B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5E01DD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68D3716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3B3D4D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4B3D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4EFA2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78EF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54F337D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59E8E54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77726B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486384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78A4B4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F009AE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3564DDB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949588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745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3D2A4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022270">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1A00DF2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169B65C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1CD541F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1F7797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6F22234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DE0DE7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7E66A2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D2917D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138C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2B9F7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520" w:type="dxa"/>
            <w:vMerge w:val="restart"/>
            <w:tcBorders>
              <w:top w:val="single" w:color="000000" w:sz="4" w:space="0"/>
              <w:left w:val="single" w:color="000000" w:sz="4" w:space="0"/>
              <w:bottom w:val="single" w:color="000000" w:sz="4" w:space="0"/>
              <w:right w:val="single" w:color="000000" w:sz="4" w:space="0"/>
            </w:tcBorders>
            <w:noWrap w:val="0"/>
            <w:vAlign w:val="center"/>
          </w:tcPr>
          <w:p w14:paraId="40573B3D">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502信息化项目造价咨询服务质量监督规范</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8E5B5F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4DCA1797">
            <w:pPr>
              <w:keepNext w:val="0"/>
              <w:keepLines w:val="0"/>
              <w:pageBreakBefore w:val="0"/>
              <w:widowControl/>
              <w:suppressLineNumbers w:val="0"/>
              <w:kinsoku w:val="0"/>
              <w:wordWrap/>
              <w:overflowPunct/>
              <w:topLinePunct w:val="0"/>
              <w:autoSpaceDE w:val="0"/>
              <w:autoSpaceDN w:val="0"/>
              <w:bidi w:val="0"/>
              <w:spacing w:line="36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501信息化项目造价质量控制规范</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B9DC34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AD9B99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5D456D1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CB330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B052A0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4591F1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1A933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873A0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AB186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1EEB87B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18259D7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211787E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22C01A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0EAF8DB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A7F112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8941E7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85A7A2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26AF1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11B1B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79E9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3DBB3B9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24FA946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48D91F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67B47D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75FADD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EE671A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B1BCFB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5412B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FA63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6944A2">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7DA3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603410D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2747464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2584004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6ED830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961A06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EAA9A0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47920BA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71B77E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0EE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43542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B17443">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6E8F530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00D73CE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04A1335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976708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0B8A07C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9F77E1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6D2633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72178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BAB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D92B1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082C7">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E450BD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9B95B9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6AAAE5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1A19D3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60F0091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8065F1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4D5569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CF8C6B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6C98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7B4FE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5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30F955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503信息化项目造价机构服务能力评价规范</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0659A83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8C0769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40EF37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919691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B6CF47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9C2DA5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70BE7AF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914FF5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D9B0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B4C24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0640F">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3E8B271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F94EB6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63D64B0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D85DC1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4B48686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8B51F8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73C26B3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2CE27F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08932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92D28B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885D1">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466B6C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270552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7C78F73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55EAD1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01013E5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51C6C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66642B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1A0EFE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3DCF7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D7DEB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2A57A8">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1E8D461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EF4C1D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4025D05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0082FE5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5CEBDA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13F2297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1FF27D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3F61A3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4CA1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24DBA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4E845">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2C9C56B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47C6DC9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700D09E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AAC330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854438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19DC90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2E6F28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6EC473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1FAB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50687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7A3798">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19E5B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A881FA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95142A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71A82FE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2D25182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E03A2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7BAEBBA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CA54CF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B1D3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D43E1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5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27892D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504信息化项目造价人员能力等级评价</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6431D80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2D2E36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49EA673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C668CA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51CCD9F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CE787B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4B9961B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3A7E60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1B46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E7575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A3B7E2">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31FF94E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7C4978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182046F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D99C21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215A0A0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C77725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EDF887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AEE048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6EDD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6488B9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F7239">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7652F65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AB2220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27F484B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6DA35B5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4CC3FD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229C4B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1C5DC0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C2EBCF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CE1B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C1337F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22888E">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515CA0C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21A429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0B451D3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D27259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54047C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0C4904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609B2C6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A0518A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920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8D91A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7EA826">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24FA062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688C47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78FC020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66C32C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1C5257E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03B85D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259878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2A9544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69D9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02A3A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FB981">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6A4F5A3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796DA9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65FD85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928066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307672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3CC943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41281D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ign w:val="center"/>
          </w:tcPr>
          <w:p w14:paraId="387230B4">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r w14:paraId="7693F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4CE82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15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B06E6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505信息化项目造价咨询档案管理规范</w:t>
            </w: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7CF947C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4E68203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5AF250A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2EA45FB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4CE1CF7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106D5B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57964E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F717D0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5F11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C545F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26</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A4B5C">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66E1361">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BADBDED">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181434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875810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2112349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5341C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63D139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93C97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CEB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900CD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27</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90FB05">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407BBF1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492E6A6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64E82F1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8B166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58A0BC3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19582F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61799D65">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3FCB98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4958E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FE2CAD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28</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C69424">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520B381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7138438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149E9607">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16E38D39">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D7A7F50">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161ADD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51FC202">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342B69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C85A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C1B595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91FF8">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0E001DE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3D6BFB4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77D948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456F3A4A">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3FA7C7C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1556C0A8">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743DDC6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26711CB">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r>
      <w:tr w14:paraId="70579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438DC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30</w:t>
            </w:r>
          </w:p>
        </w:tc>
        <w:tc>
          <w:tcPr>
            <w:tcW w:w="15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23172F">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72" w:type="dxa"/>
            <w:tcBorders>
              <w:top w:val="single" w:color="000000" w:sz="4" w:space="0"/>
              <w:left w:val="single" w:color="000000" w:sz="4" w:space="0"/>
              <w:bottom w:val="single" w:color="000000" w:sz="4" w:space="0"/>
              <w:right w:val="single" w:color="000000" w:sz="4" w:space="0"/>
            </w:tcBorders>
            <w:noWrap w:val="0"/>
            <w:vAlign w:val="center"/>
          </w:tcPr>
          <w:p w14:paraId="335F033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816" w:type="dxa"/>
            <w:tcBorders>
              <w:top w:val="single" w:color="000000" w:sz="4" w:space="0"/>
              <w:left w:val="single" w:color="000000" w:sz="4" w:space="0"/>
              <w:bottom w:val="single" w:color="000000" w:sz="4" w:space="0"/>
              <w:right w:val="single" w:color="000000" w:sz="4" w:space="0"/>
            </w:tcBorders>
            <w:noWrap w:val="0"/>
            <w:vAlign w:val="center"/>
          </w:tcPr>
          <w:p w14:paraId="6D20DBD4">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0D9B0796">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14:paraId="5F909AE3">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428" w:type="dxa"/>
            <w:tcBorders>
              <w:top w:val="single" w:color="000000" w:sz="4" w:space="0"/>
              <w:left w:val="single" w:color="000000" w:sz="4" w:space="0"/>
              <w:bottom w:val="single" w:color="000000" w:sz="4" w:space="0"/>
              <w:right w:val="single" w:color="000000" w:sz="4" w:space="0"/>
            </w:tcBorders>
            <w:noWrap w:val="0"/>
            <w:vAlign w:val="center"/>
          </w:tcPr>
          <w:p w14:paraId="75B2B85C">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609BD9F">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7486EA8E">
            <w:pPr>
              <w:keepNext w:val="0"/>
              <w:keepLines w:val="0"/>
              <w:pageBreakBefore w:val="0"/>
              <w:widowControl/>
              <w:kinsoku w:val="0"/>
              <w:wordWrap/>
              <w:overflowPunct/>
              <w:topLinePunct w:val="0"/>
              <w:autoSpaceDE w:val="0"/>
              <w:autoSpaceDN w:val="0"/>
              <w:bidi w:val="0"/>
              <w:spacing w:line="360" w:lineRule="auto"/>
              <w:jc w:val="left"/>
              <w:rPr>
                <w:rFonts w:hint="default" w:ascii="Arial" w:hAnsi="Arial" w:eastAsia="宋体" w:cs="Arial"/>
                <w:i w:val="0"/>
                <w:iCs w:val="0"/>
                <w:color w:val="000000"/>
                <w:sz w:val="21"/>
                <w:szCs w:val="21"/>
                <w:u w:val="none"/>
              </w:rPr>
            </w:pPr>
          </w:p>
        </w:tc>
        <w:tc>
          <w:tcPr>
            <w:tcW w:w="1327" w:type="dxa"/>
            <w:tcBorders>
              <w:top w:val="single" w:color="000000" w:sz="4" w:space="0"/>
              <w:left w:val="single" w:color="000000" w:sz="4" w:space="0"/>
              <w:bottom w:val="single" w:color="000000" w:sz="4" w:space="0"/>
              <w:right w:val="single" w:color="000000" w:sz="4" w:space="0"/>
            </w:tcBorders>
            <w:noWrap/>
            <w:vAlign w:val="center"/>
          </w:tcPr>
          <w:p w14:paraId="0B4F6604">
            <w:pPr>
              <w:keepNext w:val="0"/>
              <w:keepLines w:val="0"/>
              <w:pageBreakBefore w:val="0"/>
              <w:widowControl/>
              <w:kinsoku w:val="0"/>
              <w:wordWrap/>
              <w:overflowPunct/>
              <w:topLinePunct w:val="0"/>
              <w:autoSpaceDE w:val="0"/>
              <w:autoSpaceDN w:val="0"/>
              <w:bidi w:val="0"/>
              <w:spacing w:line="360" w:lineRule="auto"/>
              <w:rPr>
                <w:rFonts w:hint="eastAsia" w:ascii="宋体" w:hAnsi="宋体" w:eastAsia="宋体" w:cs="宋体"/>
                <w:i w:val="0"/>
                <w:iCs w:val="0"/>
                <w:color w:val="000000"/>
                <w:sz w:val="22"/>
                <w:szCs w:val="22"/>
                <w:u w:val="none"/>
              </w:rPr>
            </w:pPr>
          </w:p>
        </w:tc>
      </w:tr>
    </w:tbl>
    <w:p w14:paraId="436B04B6">
      <w:pPr>
        <w:pStyle w:val="2"/>
        <w:keepNext w:val="0"/>
        <w:keepLines w:val="0"/>
        <w:pageBreakBefore w:val="0"/>
        <w:widowControl/>
        <w:kinsoku w:val="0"/>
        <w:wordWrap/>
        <w:overflowPunct/>
        <w:topLinePunct w:val="0"/>
        <w:autoSpaceDE w:val="0"/>
        <w:autoSpaceDN w:val="0"/>
        <w:bidi w:val="0"/>
        <w:spacing w:line="360" w:lineRule="auto"/>
      </w:pPr>
    </w:p>
    <w:p w14:paraId="61B52885">
      <w:pPr>
        <w:keepNext w:val="0"/>
        <w:keepLines w:val="0"/>
        <w:pageBreakBefore w:val="0"/>
        <w:widowControl/>
        <w:kinsoku w:val="0"/>
        <w:wordWrap/>
        <w:overflowPunct/>
        <w:topLinePunct w:val="0"/>
        <w:autoSpaceDE w:val="0"/>
        <w:autoSpaceDN w:val="0"/>
        <w:bidi w:val="0"/>
        <w:spacing w:line="360" w:lineRule="auto"/>
        <w:sectPr>
          <w:headerReference r:id="rId20" w:type="default"/>
          <w:footerReference r:id="rId21" w:type="default"/>
          <w:pgSz w:w="16832" w:h="11900" w:orient="landscape"/>
          <w:pgMar w:top="1134" w:right="850" w:bottom="1134" w:left="1134" w:header="0" w:footer="1128" w:gutter="0"/>
          <w:paperSrc/>
          <w:pgNumType w:fmt="decimal"/>
          <w:cols w:space="720" w:num="1"/>
          <w:rtlGutter w:val="0"/>
          <w:docGrid w:linePitch="0" w:charSpace="0"/>
        </w:sectPr>
      </w:pPr>
    </w:p>
    <w:p w14:paraId="27E4C7D0">
      <w:pPr>
        <w:keepNext w:val="0"/>
        <w:keepLines w:val="0"/>
        <w:pageBreakBefore w:val="0"/>
        <w:widowControl/>
        <w:kinsoku w:val="0"/>
        <w:wordWrap/>
        <w:overflowPunct/>
        <w:topLinePunct w:val="0"/>
        <w:autoSpaceDE w:val="0"/>
        <w:autoSpaceDN w:val="0"/>
        <w:bidi w:val="0"/>
        <w:spacing w:before="98" w:line="360" w:lineRule="auto"/>
        <w:jc w:val="right"/>
        <w:outlineLvl w:val="0"/>
        <w:rPr>
          <w:rFonts w:hint="eastAsia" w:ascii="黑体" w:hAnsi="黑体" w:eastAsia="黑体" w:cs="黑体"/>
          <w:b w:val="0"/>
          <w:bCs w:val="0"/>
          <w:spacing w:val="-12"/>
          <w:sz w:val="21"/>
          <w:szCs w:val="21"/>
          <w:lang w:val="en-US" w:eastAsia="zh-CN"/>
        </w:rPr>
      </w:pPr>
      <w:r>
        <w:rPr>
          <w:rFonts w:hint="eastAsia" w:ascii="宋体" w:hAnsi="宋体" w:eastAsia="宋体" w:cs="宋体"/>
          <w:b w:val="0"/>
          <w:bCs w:val="0"/>
          <w:spacing w:val="-9"/>
          <w:sz w:val="21"/>
          <w:szCs w:val="21"/>
          <w:lang w:eastAsia="zh-CN"/>
        </w:rPr>
        <w:t>T/XXXX-2025</w:t>
      </w:r>
    </w:p>
    <w:p w14:paraId="20B5EBE0">
      <w:pPr>
        <w:keepNext w:val="0"/>
        <w:keepLines w:val="0"/>
        <w:pageBreakBefore w:val="0"/>
        <w:widowControl/>
        <w:kinsoku w:val="0"/>
        <w:wordWrap/>
        <w:overflowPunct/>
        <w:topLinePunct w:val="0"/>
        <w:autoSpaceDE w:val="0"/>
        <w:autoSpaceDN w:val="0"/>
        <w:bidi w:val="0"/>
        <w:spacing w:before="68" w:line="360" w:lineRule="auto"/>
        <w:jc w:val="center"/>
        <w:outlineLvl w:val="0"/>
        <w:rPr>
          <w:rFonts w:hint="eastAsia" w:ascii="黑体" w:hAnsi="黑体" w:eastAsia="黑体" w:cs="黑体"/>
          <w:b w:val="0"/>
          <w:bCs w:val="0"/>
          <w:spacing w:val="-12"/>
          <w:sz w:val="21"/>
          <w:szCs w:val="21"/>
          <w:lang w:val="en-US" w:eastAsia="zh-CN"/>
        </w:rPr>
      </w:pPr>
      <w:r>
        <w:rPr>
          <w:rFonts w:hint="eastAsia" w:ascii="黑体" w:hAnsi="黑体" w:eastAsia="黑体" w:cs="黑体"/>
          <w:b w:val="0"/>
          <w:bCs w:val="0"/>
          <w:spacing w:val="-12"/>
          <w:sz w:val="21"/>
          <w:szCs w:val="21"/>
          <w:lang w:val="en-US" w:eastAsia="zh-CN"/>
        </w:rPr>
        <w:t>表C.6服务评价标准子体系标准明细表</w:t>
      </w:r>
    </w:p>
    <w:p w14:paraId="53F36308">
      <w:pPr>
        <w:keepNext w:val="0"/>
        <w:keepLines w:val="0"/>
        <w:pageBreakBefore w:val="0"/>
        <w:widowControl/>
        <w:kinsoku w:val="0"/>
        <w:wordWrap/>
        <w:overflowPunct/>
        <w:topLinePunct w:val="0"/>
        <w:autoSpaceDE w:val="0"/>
        <w:autoSpaceDN w:val="0"/>
        <w:bidi w:val="0"/>
        <w:spacing w:line="360" w:lineRule="auto"/>
      </w:pPr>
    </w:p>
    <w:tbl>
      <w:tblPr>
        <w:tblStyle w:val="5"/>
        <w:tblW w:w="143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1443"/>
        <w:gridCol w:w="1566"/>
        <w:gridCol w:w="1832"/>
        <w:gridCol w:w="1395"/>
        <w:gridCol w:w="1445"/>
        <w:gridCol w:w="1412"/>
        <w:gridCol w:w="2016"/>
        <w:gridCol w:w="1177"/>
        <w:gridCol w:w="1344"/>
      </w:tblGrid>
      <w:tr w14:paraId="7E128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43D6D70A">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序号</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433DC25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子体系名称</w:t>
            </w: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20919C2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标准体系编号</w:t>
            </w: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062B63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标准名称</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2362146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发布日期</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12D81EA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实施日期</w:t>
            </w: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BA24D6E">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主管部门</w:t>
            </w: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3FDFC7C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国家、行业、地方团体标准、地方文件编号</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73ABA1C">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标准状态</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6D02D73F">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snapToGrid w:val="0"/>
                <w:color w:val="000000"/>
                <w:kern w:val="0"/>
                <w:sz w:val="18"/>
                <w:szCs w:val="18"/>
                <w:u w:val="none"/>
                <w:lang w:val="en-US" w:eastAsia="zh-CN" w:bidi="ar"/>
              </w:rPr>
              <w:t>备注</w:t>
            </w:r>
          </w:p>
        </w:tc>
      </w:tr>
      <w:tr w14:paraId="13416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1FF113C0">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443" w:type="dxa"/>
            <w:vMerge w:val="restart"/>
            <w:tcBorders>
              <w:top w:val="single" w:color="000000" w:sz="4" w:space="0"/>
              <w:left w:val="single" w:color="000000" w:sz="4" w:space="0"/>
              <w:bottom w:val="single" w:color="000000" w:sz="4" w:space="0"/>
              <w:right w:val="single" w:color="000000" w:sz="4" w:space="0"/>
            </w:tcBorders>
            <w:noWrap w:val="0"/>
            <w:vAlign w:val="center"/>
          </w:tcPr>
          <w:p w14:paraId="78C1F05D">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601信息化项目造价客户满意度评价标准</w:t>
            </w: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7E100733">
            <w:pPr>
              <w:keepNext w:val="0"/>
              <w:keepLines w:val="0"/>
              <w:pageBreakBefore w:val="0"/>
              <w:widowControl/>
              <w:kinsoku w:val="0"/>
              <w:wordWrap/>
              <w:overflowPunct/>
              <w:topLinePunct w:val="0"/>
              <w:autoSpaceDE w:val="0"/>
              <w:autoSpaceDN w:val="0"/>
              <w:bidi w:val="0"/>
              <w:spacing w:line="360" w:lineRule="auto"/>
              <w:jc w:val="center"/>
              <w:rPr>
                <w:rFonts w:hint="eastAsia"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2A617D4">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16E7E9B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2B2B7F9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CF7298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1478BB2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ECF225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9D6CF9A">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12B40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581F2302">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21D866">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330833A">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1A3266D4">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327BC45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7464E5E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35D2269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07D9572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6D7D37B4">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5805A3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60BCD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17997738">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4250A4">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F4B1EA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301E6A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6CCC77D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26EC00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F56F502">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20B84163">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EFDCFF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43AF82E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3DCC4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089FDC9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70860">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FD40413">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7D455B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6EE88EE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E728CB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16DE19E3">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2AF7857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3E86BE10">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5E486C9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0CAD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2D0FA0D5">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98679">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DAC22D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3598D96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4928F41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5EAE6C9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EB323C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0E5A643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2B973A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142A51F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030B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72F9DBF7">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BA10E">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18"/>
                <w:szCs w:val="18"/>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41321AB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8D4538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132048CA">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5983299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67D5E2E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552B6A63">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56E6D3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2ACF13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4938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1EED8DB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443" w:type="dxa"/>
            <w:vMerge w:val="restart"/>
            <w:tcBorders>
              <w:top w:val="single" w:color="000000" w:sz="4" w:space="0"/>
              <w:left w:val="single" w:color="000000" w:sz="4" w:space="0"/>
              <w:bottom w:val="single" w:color="000000" w:sz="4" w:space="0"/>
              <w:right w:val="single" w:color="000000" w:sz="4" w:space="0"/>
            </w:tcBorders>
            <w:noWrap w:val="0"/>
            <w:vAlign w:val="center"/>
          </w:tcPr>
          <w:p w14:paraId="62D4C3CB">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602信息化项目造价行业竞争力评价标准</w:t>
            </w: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3EAAE3F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26C6FF4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24A83B2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73779F5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0707523">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2959BA54">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4319D9C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14E3493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469ED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5"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773629D3">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437202">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22EBA1C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61488DA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1524A58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2516C91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7918701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4233D6D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1069444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68C6AF4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27213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061EC414">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02F5A">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9CEF5A0">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5AA2141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4D448BB0">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725B5B6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3B14C8A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3068479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0EA059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70DC37FB">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7A9D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63EA3FE6">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4ED70E">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6439112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25A1A9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641D9AB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3A9FA9A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0E90B6B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3286473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5D42A0F">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1393E289">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11AC8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71C1071C">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44A192">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4E507844">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49BEB1D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4473FFAC">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4BF4F467">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52324D0E">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6C99627E">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CAD06C0">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0"/>
            <w:vAlign w:val="center"/>
          </w:tcPr>
          <w:p w14:paraId="0FEA588D">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r>
      <w:tr w14:paraId="45E8F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717" w:type="dxa"/>
            <w:tcBorders>
              <w:top w:val="single" w:color="000000" w:sz="4" w:space="0"/>
              <w:left w:val="single" w:color="000000" w:sz="4" w:space="0"/>
              <w:bottom w:val="single" w:color="000000" w:sz="4" w:space="0"/>
              <w:right w:val="single" w:color="000000" w:sz="4" w:space="0"/>
            </w:tcBorders>
            <w:noWrap w:val="0"/>
            <w:vAlign w:val="center"/>
          </w:tcPr>
          <w:p w14:paraId="0BEBB001">
            <w:pPr>
              <w:keepNext w:val="0"/>
              <w:keepLines w:val="0"/>
              <w:pageBreakBefore w:val="0"/>
              <w:widowControl/>
              <w:suppressLineNumbers w:val="0"/>
              <w:kinsoku w:val="0"/>
              <w:wordWrap/>
              <w:overflowPunct/>
              <w:topLinePunct w:val="0"/>
              <w:autoSpaceDE w:val="0"/>
              <w:autoSpaceDN w:val="0"/>
              <w:bidi w:val="0"/>
              <w:spacing w:line="360" w:lineRule="auto"/>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w:t>
            </w:r>
          </w:p>
        </w:tc>
        <w:tc>
          <w:tcPr>
            <w:tcW w:w="14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6D3C7">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1"/>
                <w:szCs w:val="21"/>
                <w:u w:val="none"/>
              </w:rPr>
            </w:pPr>
          </w:p>
        </w:tc>
        <w:tc>
          <w:tcPr>
            <w:tcW w:w="1566" w:type="dxa"/>
            <w:tcBorders>
              <w:top w:val="single" w:color="000000" w:sz="4" w:space="0"/>
              <w:left w:val="single" w:color="000000" w:sz="4" w:space="0"/>
              <w:bottom w:val="single" w:color="000000" w:sz="4" w:space="0"/>
              <w:right w:val="single" w:color="000000" w:sz="4" w:space="0"/>
            </w:tcBorders>
            <w:noWrap w:val="0"/>
            <w:vAlign w:val="center"/>
          </w:tcPr>
          <w:p w14:paraId="36D90F71">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832" w:type="dxa"/>
            <w:tcBorders>
              <w:top w:val="single" w:color="000000" w:sz="4" w:space="0"/>
              <w:left w:val="single" w:color="000000" w:sz="4" w:space="0"/>
              <w:bottom w:val="single" w:color="000000" w:sz="4" w:space="0"/>
              <w:right w:val="single" w:color="000000" w:sz="4" w:space="0"/>
            </w:tcBorders>
            <w:noWrap w:val="0"/>
            <w:vAlign w:val="center"/>
          </w:tcPr>
          <w:p w14:paraId="7A811BC0">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14:paraId="125C0E52">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14:paraId="77106235">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noWrap w:val="0"/>
            <w:vAlign w:val="center"/>
          </w:tcPr>
          <w:p w14:paraId="458DBEC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2016" w:type="dxa"/>
            <w:tcBorders>
              <w:top w:val="single" w:color="000000" w:sz="4" w:space="0"/>
              <w:left w:val="single" w:color="000000" w:sz="4" w:space="0"/>
              <w:bottom w:val="single" w:color="000000" w:sz="4" w:space="0"/>
              <w:right w:val="single" w:color="000000" w:sz="4" w:space="0"/>
            </w:tcBorders>
            <w:noWrap w:val="0"/>
            <w:vAlign w:val="center"/>
          </w:tcPr>
          <w:p w14:paraId="34C4DC96">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14:paraId="5DE12DF8">
            <w:pPr>
              <w:keepNext w:val="0"/>
              <w:keepLines w:val="0"/>
              <w:pageBreakBefore w:val="0"/>
              <w:widowControl/>
              <w:kinsoku w:val="0"/>
              <w:wordWrap/>
              <w:overflowPunct/>
              <w:topLinePunct w:val="0"/>
              <w:autoSpaceDE w:val="0"/>
              <w:autoSpaceDN w:val="0"/>
              <w:bidi w:val="0"/>
              <w:spacing w:line="360" w:lineRule="auto"/>
              <w:jc w:val="center"/>
              <w:rPr>
                <w:rFonts w:hint="default" w:ascii="Arial" w:hAnsi="Arial" w:eastAsia="宋体" w:cs="Arial"/>
                <w:i w:val="0"/>
                <w:iCs w:val="0"/>
                <w:color w:val="000000"/>
                <w:sz w:val="21"/>
                <w:szCs w:val="21"/>
                <w:u w:val="none"/>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22A1F409">
            <w:pPr>
              <w:keepNext w:val="0"/>
              <w:keepLines w:val="0"/>
              <w:pageBreakBefore w:val="0"/>
              <w:widowControl/>
              <w:kinsoku w:val="0"/>
              <w:wordWrap/>
              <w:overflowPunct/>
              <w:topLinePunct w:val="0"/>
              <w:autoSpaceDE w:val="0"/>
              <w:autoSpaceDN w:val="0"/>
              <w:bidi w:val="0"/>
              <w:spacing w:line="360" w:lineRule="auto"/>
              <w:jc w:val="center"/>
              <w:rPr>
                <w:rFonts w:hint="eastAsia" w:ascii="宋体" w:hAnsi="宋体" w:eastAsia="宋体" w:cs="宋体"/>
                <w:i w:val="0"/>
                <w:iCs w:val="0"/>
                <w:color w:val="000000"/>
                <w:sz w:val="22"/>
                <w:szCs w:val="22"/>
                <w:u w:val="none"/>
              </w:rPr>
            </w:pPr>
          </w:p>
        </w:tc>
      </w:tr>
    </w:tbl>
    <w:p w14:paraId="43FA48DF">
      <w:pPr>
        <w:pStyle w:val="2"/>
        <w:keepNext w:val="0"/>
        <w:keepLines w:val="0"/>
        <w:pageBreakBefore w:val="0"/>
        <w:widowControl/>
        <w:kinsoku w:val="0"/>
        <w:wordWrap/>
        <w:overflowPunct/>
        <w:topLinePunct w:val="0"/>
        <w:autoSpaceDE w:val="0"/>
        <w:autoSpaceDN w:val="0"/>
        <w:bidi w:val="0"/>
        <w:spacing w:line="360" w:lineRule="auto"/>
      </w:pPr>
    </w:p>
    <w:p w14:paraId="053CC335">
      <w:pPr>
        <w:keepNext w:val="0"/>
        <w:keepLines w:val="0"/>
        <w:pageBreakBefore w:val="0"/>
        <w:widowControl/>
        <w:kinsoku w:val="0"/>
        <w:wordWrap/>
        <w:overflowPunct/>
        <w:topLinePunct w:val="0"/>
        <w:autoSpaceDE w:val="0"/>
        <w:autoSpaceDN w:val="0"/>
        <w:bidi w:val="0"/>
        <w:spacing w:line="360" w:lineRule="auto"/>
        <w:sectPr>
          <w:headerReference r:id="rId22" w:type="default"/>
          <w:footerReference r:id="rId23" w:type="default"/>
          <w:pgSz w:w="16832" w:h="11900" w:orient="landscape"/>
          <w:pgMar w:top="1134" w:right="850" w:bottom="1134" w:left="1134" w:header="0" w:footer="1128" w:gutter="0"/>
          <w:paperSrc/>
          <w:pgNumType w:fmt="decimal"/>
          <w:cols w:space="720" w:num="1"/>
          <w:rtlGutter w:val="0"/>
          <w:docGrid w:linePitch="0" w:charSpace="0"/>
        </w:sectPr>
      </w:pPr>
    </w:p>
    <w:p w14:paraId="18CE465B">
      <w:pPr>
        <w:keepNext w:val="0"/>
        <w:keepLines w:val="0"/>
        <w:pageBreakBefore w:val="0"/>
        <w:widowControl/>
        <w:kinsoku w:val="0"/>
        <w:wordWrap/>
        <w:overflowPunct/>
        <w:topLinePunct w:val="0"/>
        <w:autoSpaceDE w:val="0"/>
        <w:autoSpaceDN w:val="0"/>
        <w:bidi w:val="0"/>
        <w:spacing w:before="69" w:line="360" w:lineRule="auto"/>
        <w:jc w:val="right"/>
        <w:outlineLvl w:val="0"/>
        <w:rPr>
          <w:rFonts w:hint="eastAsia" w:ascii="黑体" w:hAnsi="黑体" w:eastAsia="黑体" w:cs="黑体"/>
          <w:b w:val="0"/>
          <w:bCs w:val="0"/>
          <w:spacing w:val="-7"/>
          <w:sz w:val="21"/>
          <w:szCs w:val="21"/>
          <w:lang w:eastAsia="zh-CN"/>
        </w:rPr>
      </w:pPr>
      <w:bookmarkStart w:id="61" w:name="bookmark44"/>
      <w:bookmarkEnd w:id="61"/>
      <w:r>
        <w:rPr>
          <w:rFonts w:hint="eastAsia" w:ascii="宋体" w:hAnsi="宋体" w:eastAsia="宋体" w:cs="宋体"/>
          <w:b w:val="0"/>
          <w:bCs w:val="0"/>
          <w:spacing w:val="-7"/>
          <w:sz w:val="21"/>
          <w:szCs w:val="21"/>
          <w:lang w:eastAsia="zh-CN"/>
        </w:rPr>
        <w:t>T/XXXX-2025</w:t>
      </w:r>
    </w:p>
    <w:p w14:paraId="3D96ECDA">
      <w:pPr>
        <w:keepNext w:val="0"/>
        <w:keepLines w:val="0"/>
        <w:pageBreakBefore w:val="0"/>
        <w:widowControl/>
        <w:kinsoku w:val="0"/>
        <w:wordWrap/>
        <w:overflowPunct/>
        <w:topLinePunct w:val="0"/>
        <w:autoSpaceDE w:val="0"/>
        <w:autoSpaceDN w:val="0"/>
        <w:bidi w:val="0"/>
        <w:adjustRightInd w:val="0"/>
        <w:snapToGrid w:val="0"/>
        <w:spacing w:before="69" w:line="280" w:lineRule="atLeast"/>
        <w:jc w:val="center"/>
        <w:textAlignment w:val="baseline"/>
        <w:outlineLvl w:val="0"/>
        <w:rPr>
          <w:rFonts w:ascii="黑体" w:hAnsi="黑体" w:eastAsia="黑体" w:cs="黑体"/>
          <w:b w:val="0"/>
          <w:bCs w:val="0"/>
          <w:sz w:val="21"/>
          <w:szCs w:val="21"/>
        </w:rPr>
      </w:pPr>
      <w:r>
        <w:rPr>
          <w:rFonts w:ascii="黑体" w:hAnsi="黑体" w:eastAsia="黑体" w:cs="黑体"/>
          <w:b w:val="0"/>
          <w:bCs w:val="0"/>
          <w:spacing w:val="-7"/>
          <w:sz w:val="21"/>
          <w:szCs w:val="21"/>
        </w:rPr>
        <w:t>参考文献</w:t>
      </w:r>
    </w:p>
    <w:p w14:paraId="78BEEAD1">
      <w:pPr>
        <w:keepNext w:val="0"/>
        <w:keepLines w:val="0"/>
        <w:pageBreakBefore w:val="0"/>
        <w:widowControl/>
        <w:kinsoku w:val="0"/>
        <w:wordWrap/>
        <w:overflowPunct/>
        <w:topLinePunct w:val="0"/>
        <w:autoSpaceDE w:val="0"/>
        <w:autoSpaceDN w:val="0"/>
        <w:bidi w:val="0"/>
        <w:adjustRightInd w:val="0"/>
        <w:snapToGrid w:val="0"/>
        <w:spacing w:before="131" w:line="280" w:lineRule="atLeast"/>
        <w:ind w:left="457"/>
        <w:textAlignment w:val="baseline"/>
        <w:rPr>
          <w:rFonts w:ascii="宋体" w:hAnsi="宋体" w:eastAsia="宋体" w:cs="宋体"/>
          <w:sz w:val="21"/>
          <w:szCs w:val="21"/>
        </w:rPr>
      </w:pPr>
      <w:r>
        <w:rPr>
          <w:rFonts w:ascii="宋体" w:hAnsi="宋体" w:eastAsia="宋体" w:cs="宋体"/>
          <w:spacing w:val="-3"/>
          <w:sz w:val="21"/>
          <w:szCs w:val="21"/>
        </w:rPr>
        <w:t>[1]GB/T</w:t>
      </w:r>
      <w:r>
        <w:rPr>
          <w:rFonts w:ascii="宋体" w:hAnsi="宋体" w:eastAsia="宋体" w:cs="宋体"/>
          <w:spacing w:val="30"/>
          <w:sz w:val="21"/>
          <w:szCs w:val="21"/>
        </w:rPr>
        <w:t xml:space="preserve"> </w:t>
      </w:r>
      <w:r>
        <w:rPr>
          <w:rFonts w:ascii="宋体" w:hAnsi="宋体" w:eastAsia="宋体" w:cs="宋体"/>
          <w:spacing w:val="-3"/>
          <w:sz w:val="21"/>
          <w:szCs w:val="21"/>
        </w:rPr>
        <w:t>11457-2006信息技术软</w:t>
      </w:r>
      <w:r>
        <w:rPr>
          <w:rFonts w:ascii="宋体" w:hAnsi="宋体" w:eastAsia="宋体" w:cs="宋体"/>
          <w:spacing w:val="-4"/>
          <w:sz w:val="21"/>
          <w:szCs w:val="21"/>
        </w:rPr>
        <w:t>件工程术语</w:t>
      </w:r>
    </w:p>
    <w:p w14:paraId="796317A0">
      <w:pPr>
        <w:keepNext w:val="0"/>
        <w:keepLines w:val="0"/>
        <w:pageBreakBefore w:val="0"/>
        <w:widowControl/>
        <w:kinsoku w:val="0"/>
        <w:wordWrap/>
        <w:overflowPunct/>
        <w:topLinePunct w:val="0"/>
        <w:autoSpaceDE w:val="0"/>
        <w:autoSpaceDN w:val="0"/>
        <w:bidi w:val="0"/>
        <w:adjustRightInd w:val="0"/>
        <w:snapToGrid w:val="0"/>
        <w:spacing w:before="21" w:line="280" w:lineRule="atLeast"/>
        <w:ind w:left="457"/>
        <w:textAlignment w:val="baseline"/>
        <w:rPr>
          <w:rFonts w:ascii="宋体" w:hAnsi="宋体" w:eastAsia="宋体" w:cs="宋体"/>
          <w:sz w:val="21"/>
          <w:szCs w:val="21"/>
        </w:rPr>
      </w:pPr>
      <w:r>
        <w:rPr>
          <w:rFonts w:ascii="宋体" w:hAnsi="宋体" w:eastAsia="宋体" w:cs="宋体"/>
          <w:spacing w:val="-3"/>
          <w:sz w:val="21"/>
          <w:szCs w:val="21"/>
        </w:rPr>
        <w:t>[2]GB/T</w:t>
      </w:r>
      <w:r>
        <w:rPr>
          <w:rFonts w:ascii="宋体" w:hAnsi="宋体" w:eastAsia="宋体" w:cs="宋体"/>
          <w:spacing w:val="37"/>
          <w:sz w:val="21"/>
          <w:szCs w:val="21"/>
        </w:rPr>
        <w:t xml:space="preserve"> </w:t>
      </w:r>
      <w:r>
        <w:rPr>
          <w:rFonts w:ascii="宋体" w:hAnsi="宋体" w:eastAsia="宋体" w:cs="宋体"/>
          <w:spacing w:val="-3"/>
          <w:sz w:val="21"/>
          <w:szCs w:val="21"/>
        </w:rPr>
        <w:t>13016-2018标准体系表构建原则和要求</w:t>
      </w:r>
    </w:p>
    <w:p w14:paraId="62CB5004">
      <w:pPr>
        <w:keepNext w:val="0"/>
        <w:keepLines w:val="0"/>
        <w:pageBreakBefore w:val="0"/>
        <w:widowControl/>
        <w:kinsoku w:val="0"/>
        <w:wordWrap/>
        <w:overflowPunct/>
        <w:topLinePunct w:val="0"/>
        <w:autoSpaceDE w:val="0"/>
        <w:autoSpaceDN w:val="0"/>
        <w:bidi w:val="0"/>
        <w:adjustRightInd w:val="0"/>
        <w:snapToGrid w:val="0"/>
        <w:spacing w:before="9" w:line="280" w:lineRule="atLeast"/>
        <w:ind w:left="457"/>
        <w:textAlignment w:val="baseline"/>
        <w:rPr>
          <w:rFonts w:ascii="宋体" w:hAnsi="宋体" w:eastAsia="宋体" w:cs="宋体"/>
          <w:sz w:val="21"/>
          <w:szCs w:val="21"/>
        </w:rPr>
      </w:pPr>
      <w:r>
        <w:rPr>
          <w:rFonts w:ascii="宋体" w:hAnsi="宋体" w:eastAsia="宋体" w:cs="宋体"/>
          <w:spacing w:val="-3"/>
          <w:sz w:val="21"/>
          <w:szCs w:val="21"/>
        </w:rPr>
        <w:drawing>
          <wp:anchor distT="0" distB="0" distL="0" distR="0" simplePos="0" relativeHeight="251661312" behindDoc="0" locked="0" layoutInCell="1" allowOverlap="1">
            <wp:simplePos x="0" y="0"/>
            <wp:positionH relativeFrom="column">
              <wp:posOffset>2233295</wp:posOffset>
            </wp:positionH>
            <wp:positionV relativeFrom="paragraph">
              <wp:posOffset>825500</wp:posOffset>
            </wp:positionV>
            <wp:extent cx="1498600" cy="6350"/>
            <wp:effectExtent l="0" t="0" r="0" b="0"/>
            <wp:wrapNone/>
            <wp:docPr id="2" name="IM 6"/>
            <wp:cNvGraphicFramePr/>
            <a:graphic xmlns:a="http://schemas.openxmlformats.org/drawingml/2006/main">
              <a:graphicData uri="http://schemas.openxmlformats.org/drawingml/2006/picture">
                <pic:pic xmlns:pic="http://schemas.openxmlformats.org/drawingml/2006/picture">
                  <pic:nvPicPr>
                    <pic:cNvPr id="2" name="IM 6"/>
                    <pic:cNvPicPr/>
                  </pic:nvPicPr>
                  <pic:blipFill>
                    <a:blip r:embed="rId35"/>
                    <a:stretch>
                      <a:fillRect/>
                    </a:stretch>
                  </pic:blipFill>
                  <pic:spPr>
                    <a:xfrm>
                      <a:off x="0" y="0"/>
                      <a:ext cx="1498600" cy="6350"/>
                    </a:xfrm>
                    <a:prstGeom prst="rect">
                      <a:avLst/>
                    </a:prstGeom>
                    <a:noFill/>
                    <a:ln>
                      <a:noFill/>
                    </a:ln>
                  </pic:spPr>
                </pic:pic>
              </a:graphicData>
            </a:graphic>
          </wp:anchor>
        </w:drawing>
      </w:r>
      <w:r>
        <w:rPr>
          <w:rFonts w:ascii="宋体" w:hAnsi="宋体" w:eastAsia="宋体" w:cs="宋体"/>
          <w:spacing w:val="-3"/>
          <w:sz w:val="21"/>
          <w:szCs w:val="21"/>
        </w:rPr>
        <w:t>[3]GB/T 35295-2017</w:t>
      </w:r>
      <w:r>
        <w:rPr>
          <w:rFonts w:ascii="宋体" w:hAnsi="宋体" w:eastAsia="宋体" w:cs="宋体"/>
          <w:spacing w:val="3"/>
          <w:sz w:val="21"/>
          <w:szCs w:val="21"/>
        </w:rPr>
        <w:t>信息技术大数据术语</w:t>
      </w:r>
    </w:p>
    <w:sectPr>
      <w:headerReference r:id="rId24" w:type="default"/>
      <w:footerReference r:id="rId25" w:type="default"/>
      <w:pgSz w:w="11900" w:h="16832"/>
      <w:pgMar w:top="1417" w:right="1134" w:bottom="2154" w:left="1417" w:header="0" w:footer="1128" w:gutter="0"/>
      <w:paperSrc/>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0000000000000000000"/>
    <w:charset w:val="00"/>
    <w:family w:val="auto"/>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American Typewriter Regular">
    <w:panose1 w:val="02090604020004020304"/>
    <w:charset w:val="00"/>
    <w:family w:val="auto"/>
    <w:pitch w:val="default"/>
    <w:sig w:usb0="A000006F" w:usb1="00000019" w:usb2="00000000" w:usb3="00000000" w:csb0="20000111" w:csb1="00000000"/>
  </w:font>
  <w:font w:name="Academy Engraved LET">
    <w:panose1 w:val="02000000000000000000"/>
    <w:charset w:val="00"/>
    <w:family w:val="auto"/>
    <w:pitch w:val="default"/>
    <w:sig w:usb0="8000007F" w:usb1="4000000A" w:usb2="00000000" w:usb3="00000000" w:csb0="00000001" w:csb1="00000000"/>
  </w:font>
  <w:font w:name="WPS-Numbers">
    <w:panose1 w:val="00000000000000000000"/>
    <w:charset w:val="00"/>
    <w:family w:val="auto"/>
    <w:pitch w:val="default"/>
    <w:sig w:usb0="00000001" w:usb1="10000000" w:usb2="00000000" w:usb3="00000000" w:csb0="00000001" w:csb1="00000000"/>
  </w:font>
  <w:font w:name="华文宋体">
    <w:panose1 w:val="02010600040101010101"/>
    <w:charset w:val="86"/>
    <w:family w:val="auto"/>
    <w:pitch w:val="default"/>
    <w:sig w:usb0="80000287" w:usb1="280F3C52" w:usb2="00000016" w:usb3="00000000" w:csb0="0004001F" w:csb1="00000000"/>
  </w:font>
  <w:font w:name="Songti TC Regular">
    <w:panose1 w:val="02010600040101010101"/>
    <w:charset w:val="86"/>
    <w:family w:val="auto"/>
    <w:pitch w:val="default"/>
    <w:sig w:usb0="00000287" w:usb1="080F0000" w:usb2="00000000" w:usb3="00000000" w:csb0="0004009F" w:csb1="DFD70000"/>
  </w:font>
  <w:font w:name="Apple Color Emoji">
    <w:panose1 w:val="00000000000000000000"/>
    <w:charset w:val="00"/>
    <w:family w:val="auto"/>
    <w:pitch w:val="default"/>
    <w:sig w:usb0="00000003" w:usb1="18000000" w:usb2="14000000" w:usb3="00000000" w:csb0="00000001" w:csb1="00000000"/>
  </w:font>
  <w:font w:name="YuMincho +36p Kana Medium">
    <w:panose1 w:val="02020500000000000000"/>
    <w:charset w:val="80"/>
    <w:family w:val="auto"/>
    <w:pitch w:val="default"/>
    <w:sig w:usb0="000002D7" w:usb1="2AC73C11" w:usb2="00000012" w:usb3="00000000" w:csb0="2002009F" w:csb1="00000000"/>
  </w:font>
  <w:font w:name="YuMincho Medium">
    <w:panose1 w:val="02020500000000000000"/>
    <w:charset w:val="80"/>
    <w:family w:val="auto"/>
    <w:pitch w:val="default"/>
    <w:sig w:usb0="000002D7" w:usb1="2AC73C11" w:usb2="00000012" w:usb3="00000000" w:csb0="2002009F" w:csb1="00000000"/>
  </w:font>
  <w:font w:name="Times New Roman Regular">
    <w:panose1 w:val="02020603050405020304"/>
    <w:charset w:val="00"/>
    <w:family w:val="auto"/>
    <w:pitch w:val="default"/>
    <w:sig w:usb0="E0002AEF" w:usb1="C0007841" w:usb2="00000009" w:usb3="00000000" w:csb0="400001FF" w:csb1="FFFF0000"/>
  </w:font>
  <w:font w:name="Times New Roman Italic">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Times New Roman Bold Italic">
    <w:panose1 w:val="02020603050405020304"/>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EBCC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7AF3666">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OLpab5wEAAMkD&#10;AAAOAAAAAAAAAAEAIAAAAB4BAABkcnMvZTJvRG9jLnhtbFBLBQYAAAAABgAGAFkBAAB3BQAAAAA=&#10;">
              <v:fill on="f" focussize="0,0"/>
              <v:stroke on="f"/>
              <v:imagedata o:title=""/>
              <o:lock v:ext="edit" aspectratio="f"/>
              <v:textbox inset="0mm,0mm,0mm,0mm" style="mso-fit-shape-to-text:t;">
                <w:txbxContent>
                  <w:p w14:paraId="07AF3666">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FFC31">
    <w:pPr>
      <w:spacing w:line="173" w:lineRule="auto"/>
      <w:rPr>
        <w:rFonts w:hint="eastAsia" w:ascii="Times New Roman" w:hAnsi="Times New Roman" w:eastAsia="宋体" w:cs="Times New Roman"/>
        <w:b/>
        <w:bCs/>
        <w:spacing w:val="-1"/>
        <w:sz w:val="16"/>
        <w:szCs w:val="16"/>
        <w:lang w:eastAsia="zh-CN"/>
      </w:rPr>
    </w:pPr>
    <w:r>
      <w:rPr>
        <w:sz w:val="16"/>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8CE159">
                          <w:pPr>
                            <w:pStyle w:val="3"/>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L9Fwp5wEAAMkD&#10;AAAOAAAAAAAAAAEAIAAAAB4BAABkcnMvZTJvRG9jLnhtbFBLBQYAAAAABgAGAFkBAAB3BQAAAAA=&#10;">
              <v:fill on="f" focussize="0,0"/>
              <v:stroke on="f"/>
              <v:imagedata o:title=""/>
              <o:lock v:ext="edit" aspectratio="f"/>
              <v:textbox inset="0mm,0mm,0mm,0mm" style="mso-fit-shape-to-text:t;">
                <w:txbxContent>
                  <w:p w14:paraId="5A8CE159">
                    <w:pPr>
                      <w:pStyle w:val="3"/>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0329">
    <w:pPr>
      <w:spacing w:line="173" w:lineRule="auto"/>
      <w:rPr>
        <w:rFonts w:hint="eastAsia" w:ascii="Times New Roman" w:hAnsi="Times New Roman" w:eastAsia="宋体" w:cs="Times New Roman"/>
        <w:b/>
        <w:bCs/>
        <w:spacing w:val="-1"/>
        <w:sz w:val="16"/>
        <w:szCs w:val="16"/>
        <w:lang w:eastAsia="zh-CN"/>
      </w:rPr>
    </w:pPr>
    <w:r>
      <w:rPr>
        <w:sz w:val="16"/>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45D8832">
                          <w:pPr>
                            <w:pStyle w:val="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iHE56+gBAADJ&#10;AwAADgAAAAAAAAABACAAAAAeAQAAZHJzL2Uyb0RvYy54bWxQSwUGAAAAAAYABgBZAQAAeAUAAAAA&#10;">
              <v:fill on="f" focussize="0,0"/>
              <v:stroke on="f"/>
              <v:imagedata o:title=""/>
              <o:lock v:ext="edit" aspectratio="f"/>
              <v:textbox inset="0mm,0mm,0mm,0mm" style="mso-fit-shape-to-text:t;">
                <w:txbxContent>
                  <w:p w14:paraId="245D8832">
                    <w:pPr>
                      <w:pStyle w:val="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139D0">
    <w:pPr>
      <w:spacing w:line="173" w:lineRule="auto"/>
      <w:ind w:left="27"/>
      <w:rPr>
        <w:rFonts w:hint="eastAsia" w:ascii="Times New Roman" w:hAnsi="Times New Roman" w:eastAsia="宋体" w:cs="Times New Roman"/>
        <w:sz w:val="14"/>
        <w:szCs w:val="14"/>
        <w:lang w:eastAsia="zh-CN"/>
      </w:rPr>
    </w:pPr>
    <w:r>
      <w:rPr>
        <w:sz w:val="16"/>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B1F1368">
                          <w:pPr>
                            <w:pStyle w:val="3"/>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ddO9jOgBAADJ&#10;AwAADgAAAAAAAAABACAAAAAeAQAAZHJzL2Uyb0RvYy54bWxQSwUGAAAAAAYABgBZAQAAeAUAAAAA&#10;">
              <v:fill on="f" focussize="0,0"/>
              <v:stroke on="f"/>
              <v:imagedata o:title=""/>
              <o:lock v:ext="edit" aspectratio="f"/>
              <v:textbox inset="0mm,0mm,0mm,0mm" style="mso-fit-shape-to-text:t;">
                <w:txbxContent>
                  <w:p w14:paraId="5B1F1368">
                    <w:pPr>
                      <w:pStyle w:val="3"/>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5732">
    <w:pPr>
      <w:spacing w:line="174" w:lineRule="auto"/>
      <w:ind w:left="19"/>
      <w:rPr>
        <w:rFonts w:hint="default" w:ascii="Times New Roman" w:hAnsi="Times New Roman" w:eastAsia="宋体" w:cs="Times New Roman"/>
        <w:sz w:val="20"/>
        <w:szCs w:val="20"/>
        <w:lang w:val="en-US" w:eastAsia="zh-CN"/>
      </w:rPr>
    </w:pPr>
    <w:r>
      <w:rPr>
        <w:sz w:val="20"/>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BA066A">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84wS/OgBAADJ&#10;AwAADgAAAAAAAAABACAAAAAeAQAAZHJzL2Uyb0RvYy54bWxQSwUGAAAAAAYABgBZAQAAeAUAAAAA&#10;">
              <v:fill on="f" focussize="0,0"/>
              <v:stroke on="f"/>
              <v:imagedata o:title=""/>
              <o:lock v:ext="edit" aspectratio="f"/>
              <v:textbox inset="0mm,0mm,0mm,0mm" style="mso-fit-shape-to-text:t;">
                <w:txbxContent>
                  <w:p w14:paraId="5ABA066A">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4517B">
    <w:pPr>
      <w:spacing w:line="170" w:lineRule="auto"/>
      <w:jc w:val="both"/>
      <w:rPr>
        <w:rFonts w:hint="default" w:ascii="Times New Roman" w:hAnsi="Times New Roman" w:eastAsia="宋体" w:cs="Times New Roman"/>
        <w:sz w:val="14"/>
        <w:szCs w:val="14"/>
        <w:lang w:val="en-US" w:eastAsia="zh-CN"/>
      </w:rPr>
    </w:pPr>
    <w:r>
      <w:rPr>
        <w:sz w:val="1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51A16F7">
                          <w:pPr>
                            <w:pStyle w:val="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J51dI5wEAAMkD&#10;AAAOAAAAAAAAAAEAIAAAAB4BAABkcnMvZTJvRG9jLnhtbFBLBQYAAAAABgAGAFkBAAB3BQAAAAA=&#10;">
              <v:fill on="f" focussize="0,0"/>
              <v:stroke on="f"/>
              <v:imagedata o:title=""/>
              <o:lock v:ext="edit" aspectratio="f"/>
              <v:textbox inset="0mm,0mm,0mm,0mm" style="mso-fit-shape-to-text:t;">
                <w:txbxContent>
                  <w:p w14:paraId="451A16F7">
                    <w:pPr>
                      <w:pStyle w:val="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CEE3">
    <w:pPr>
      <w:spacing w:line="600" w:lineRule="auto"/>
      <w:rPr>
        <w:rFonts w:hint="default" w:ascii="Times New Roman" w:hAnsi="Times New Roman" w:eastAsia="宋体" w:cs="Times New Roman"/>
        <w:b/>
        <w:bCs/>
        <w:color w:val="807080"/>
        <w:spacing w:val="-1"/>
        <w:w w:val="128"/>
        <w:sz w:val="16"/>
        <w:szCs w:val="16"/>
        <w:lang w:val="en-US" w:eastAsia="zh-CN"/>
      </w:rPr>
    </w:pPr>
    <w:r>
      <w:rPr>
        <w:sz w:val="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D080179">
                          <w:pPr>
                            <w:pStyle w:val="3"/>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yoAPzOgBAADJ&#10;AwAADgAAAAAAAAABACAAAAAeAQAAZHJzL2Uyb0RvYy54bWxQSwUGAAAAAAYABgBZAQAAeAUAAAAA&#10;">
              <v:fill on="f" focussize="0,0"/>
              <v:stroke on="f"/>
              <v:imagedata o:title=""/>
              <o:lock v:ext="edit" aspectratio="f"/>
              <v:textbox inset="0mm,0mm,0mm,0mm" style="mso-fit-shape-to-text:t;">
                <w:txbxContent>
                  <w:p w14:paraId="6D080179">
                    <w:pPr>
                      <w:pStyle w:val="3"/>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ascii="Times New Roman" w:hAnsi="Times New Roman" w:eastAsia="Times New Roman" w:cs="Times New Roman"/>
        <w:color w:val="807080"/>
        <w:spacing w:val="1"/>
        <w:w w:val="128"/>
        <w:sz w:val="2"/>
        <w:szCs w:val="2"/>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9C94">
    <w:pPr>
      <w:spacing w:line="173" w:lineRule="auto"/>
      <w:rPr>
        <w:rFonts w:hint="eastAsia" w:ascii="Times New Roman" w:hAnsi="Times New Roman" w:eastAsia="宋体" w:cs="Times New Roman"/>
        <w:sz w:val="14"/>
        <w:szCs w:val="14"/>
        <w:lang w:eastAsia="zh-CN"/>
      </w:rPr>
    </w:pPr>
    <w:r>
      <w:rPr>
        <w:sz w:val="16"/>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7D23632">
                          <w:pPr>
                            <w:pStyle w:val="3"/>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as++cBAADJAwAADgAAAGRycy9lMm9Eb2MueG1srVPNjtMwEL4j8Q6W&#10;7zRpx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58wJSxM//fxx+nV3+v2d&#10;zV8m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8Nqz75wEAAMkD&#10;AAAOAAAAAAAAAAEAIAAAAB4BAABkcnMvZTJvRG9jLnhtbFBLBQYAAAAABgAGAFkBAAB3BQAAAAA=&#10;">
              <v:fill on="f" focussize="0,0"/>
              <v:stroke on="f"/>
              <v:imagedata o:title=""/>
              <o:lock v:ext="edit" aspectratio="f"/>
              <v:textbox inset="0mm,0mm,0mm,0mm" style="mso-fit-shape-to-text:t;">
                <w:txbxContent>
                  <w:p w14:paraId="17D23632">
                    <w:pPr>
                      <w:pStyle w:val="3"/>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F3C9B">
    <w:pPr>
      <w:tabs>
        <w:tab w:val="left" w:pos="1038"/>
      </w:tabs>
      <w:spacing w:line="173" w:lineRule="auto"/>
      <w:ind w:left="104"/>
      <w:rPr>
        <w:rFonts w:hint="eastAsia" w:ascii="Times New Roman" w:hAnsi="Times New Roman" w:eastAsia="宋体" w:cs="Times New Roman"/>
        <w:sz w:val="14"/>
        <w:szCs w:val="14"/>
        <w:lang w:eastAsia="zh-CN"/>
      </w:rPr>
    </w:pPr>
    <w:r>
      <w:rPr>
        <w:sz w:val="16"/>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8BCAD3F">
                          <w:pPr>
                            <w:pStyle w:val="3"/>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8GOCA5wEAAMkD&#10;AAAOAAAAAAAAAAEAIAAAAB4BAABkcnMvZTJvRG9jLnhtbFBLBQYAAAAABgAGAFkBAAB3BQAAAAA=&#10;">
              <v:fill on="f" focussize="0,0"/>
              <v:stroke on="f"/>
              <v:imagedata o:title=""/>
              <o:lock v:ext="edit" aspectratio="f"/>
              <v:textbox inset="0mm,0mm,0mm,0mm" style="mso-fit-shape-to-text:t;">
                <w:txbxContent>
                  <w:p w14:paraId="18BCAD3F">
                    <w:pPr>
                      <w:pStyle w:val="3"/>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C874E">
    <w:pPr>
      <w:tabs>
        <w:tab w:val="left" w:pos="2341"/>
      </w:tabs>
      <w:spacing w:line="172" w:lineRule="auto"/>
      <w:rPr>
        <w:rFonts w:hint="eastAsia" w:ascii="Times New Roman" w:hAnsi="Times New Roman" w:eastAsia="宋体" w:cs="Times New Roman"/>
        <w:sz w:val="13"/>
        <w:szCs w:val="13"/>
        <w:lang w:eastAsia="zh-CN"/>
      </w:rPr>
    </w:pPr>
    <w:r>
      <w:rPr>
        <w:sz w:val="16"/>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71C2FF8">
                          <w:pPr>
                            <w:pStyle w:val="3"/>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hnOlNOgBAADJ&#10;AwAADgAAAAAAAAABACAAAAAeAQAAZHJzL2Uyb0RvYy54bWxQSwUGAAAAAAYABgBZAQAAeAUAAAAA&#10;">
              <v:fill on="f" focussize="0,0"/>
              <v:stroke on="f"/>
              <v:imagedata o:title=""/>
              <o:lock v:ext="edit" aspectratio="f"/>
              <v:textbox inset="0mm,0mm,0mm,0mm" style="mso-fit-shape-to-text:t;">
                <w:txbxContent>
                  <w:p w14:paraId="371C2FF8">
                    <w:pPr>
                      <w:pStyle w:val="3"/>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182E9">
    <w:pPr>
      <w:tabs>
        <w:tab w:val="left" w:pos="8501"/>
      </w:tabs>
      <w:spacing w:line="173" w:lineRule="auto"/>
      <w:ind w:left="115"/>
      <w:rPr>
        <w:rFonts w:hint="eastAsia" w:ascii="Times New Roman" w:hAnsi="Times New Roman" w:eastAsia="宋体" w:cs="Times New Roman"/>
        <w:b/>
        <w:bCs/>
        <w:spacing w:val="-1"/>
        <w:sz w:val="16"/>
        <w:szCs w:val="16"/>
        <w:lang w:eastAsia="zh-CN"/>
      </w:rPr>
    </w:pPr>
    <w:r>
      <w:rPr>
        <w:sz w:val="16"/>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04F4E81">
                          <w:pPr>
                            <w:pStyle w:val="3"/>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nmRtG5wEAAMkD&#10;AAAOAAAAAAAAAAEAIAAAAB4BAABkcnMvZTJvRG9jLnhtbFBLBQYAAAAABgAGAFkBAAB3BQAAAAA=&#10;">
              <v:fill on="f" focussize="0,0"/>
              <v:stroke on="f"/>
              <v:imagedata o:title=""/>
              <o:lock v:ext="edit" aspectratio="f"/>
              <v:textbox inset="0mm,0mm,0mm,0mm" style="mso-fit-shape-to-text:t;">
                <w:txbxContent>
                  <w:p w14:paraId="004F4E81">
                    <w:pPr>
                      <w:pStyle w:val="3"/>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F3ECE">
    <w:pPr>
      <w:tabs>
        <w:tab w:val="left" w:pos="1374"/>
      </w:tabs>
      <w:spacing w:line="172" w:lineRule="auto"/>
      <w:ind w:left="104"/>
      <w:rPr>
        <w:rFonts w:hint="eastAsia" w:ascii="Times New Roman" w:hAnsi="Times New Roman" w:eastAsia="宋体" w:cs="Times New Roman"/>
        <w:sz w:val="13"/>
        <w:szCs w:val="13"/>
        <w:lang w:eastAsia="zh-CN"/>
      </w:rPr>
    </w:pPr>
    <w:r>
      <w:rPr>
        <w:sz w:val="16"/>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75C1308">
                          <w:pPr>
                            <w:pStyle w:val="3"/>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IkwSt5wEAAMkD&#10;AAAOAAAAAAAAAAEAIAAAAB4BAABkcnMvZTJvRG9jLnhtbFBLBQYAAAAABgAGAFkBAAB3BQAAAAA=&#10;">
              <v:fill on="f" focussize="0,0"/>
              <v:stroke on="f"/>
              <v:imagedata o:title=""/>
              <o:lock v:ext="edit" aspectratio="f"/>
              <v:textbox inset="0mm,0mm,0mm,0mm" style="mso-fit-shape-to-text:t;">
                <w:txbxContent>
                  <w:p w14:paraId="775C1308">
                    <w:pPr>
                      <w:pStyle w:val="3"/>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26</w:t>
                    </w:r>
                    <w:r>
                      <w:fldChar w:fldCharType="end"/>
                    </w:r>
                    <w:r>
                      <w:t xml:space="preserve"> 页</w:t>
                    </w:r>
                  </w:p>
                </w:txbxContent>
              </v:textbox>
            </v:shape>
          </w:pict>
        </mc:Fallback>
      </mc:AlternateContent>
    </w:r>
    <w:r>
      <w:rPr>
        <w:rFonts w:hint="eastAsia" w:ascii="Times New Roman" w:hAnsi="Times New Roman" w:eastAsia="宋体" w:cs="Times New Roman"/>
        <w:b/>
        <w:bCs/>
        <w:spacing w:val="-1"/>
        <w:sz w:val="16"/>
        <w:szCs w:val="16"/>
        <w:lang w:eastAsia="zh-CN"/>
      </w:rPr>
      <w:t>T/XXXX-2025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AC04">
    <w:pPr>
      <w:pStyle w:val="2"/>
      <w:pBdr>
        <w:bottom w:val="dashSmallGap" w:color="auto" w:sz="4" w:space="0"/>
      </w:pBd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E992">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392">
    <w:pPr>
      <w:spacing w:before="67" w:line="188" w:lineRule="auto"/>
      <w:rPr>
        <w:rFonts w:ascii="Times New Roman" w:hAnsi="Times New Roman" w:eastAsia="Times New Roman" w:cs="Times New Roman"/>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39F68">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63928">
    <w:pPr>
      <w:spacing w:before="67" w:line="188" w:lineRule="auto"/>
      <w:ind w:left="75"/>
      <w:rPr>
        <w:rFonts w:ascii="Times New Roman" w:hAnsi="Times New Roman" w:eastAsia="Times New Roman" w:cs="Times New Roman"/>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96949">
    <w:pPr>
      <w:spacing w:before="67" w:line="188" w:lineRule="auto"/>
      <w:ind w:left="75"/>
      <w:rPr>
        <w:rFonts w:ascii="Times New Roman" w:hAnsi="Times New Roman" w:eastAsia="Times New Roman" w:cs="Times New Roman"/>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A21D3">
    <w:pPr>
      <w:spacing w:before="67" w:line="188" w:lineRule="auto"/>
      <w:ind w:left="11965"/>
      <w:rPr>
        <w:rFonts w:ascii="Times New Roman" w:hAnsi="Times New Roman" w:eastAsia="Times New Roman" w:cs="Times New Roman"/>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80B9B">
    <w:pPr>
      <w:spacing w:before="67" w:line="188" w:lineRule="auto"/>
      <w:ind w:left="11965"/>
      <w:rPr>
        <w:rFonts w:ascii="Times New Roman" w:hAnsi="Times New Roman" w:eastAsia="Times New Roman" w:cs="Times New Roman"/>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6CE35">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isplayBackgroundShape w:val="1"/>
  <w:bordersDoNotSurroundHeader w:val="0"/>
  <w:bordersDoNotSurroundFooter w:val="0"/>
  <w:documentProtection w:enforcement="0"/>
  <w:defaultTabStop w:val="499"/>
  <w:hyphenationZone w:val="36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6EBEF6"/>
    <w:rsid w:val="1FFD1926"/>
    <w:rsid w:val="357EE6E6"/>
    <w:rsid w:val="36DC6D66"/>
    <w:rsid w:val="3FFCE0B3"/>
    <w:rsid w:val="3FFD19F5"/>
    <w:rsid w:val="5BDAC567"/>
    <w:rsid w:val="5EFE0D15"/>
    <w:rsid w:val="64FF41A2"/>
    <w:rsid w:val="6BEFB9A9"/>
    <w:rsid w:val="6BFF2888"/>
    <w:rsid w:val="6CDE662E"/>
    <w:rsid w:val="74FAD5E4"/>
    <w:rsid w:val="75FD314F"/>
    <w:rsid w:val="77FFF6B5"/>
    <w:rsid w:val="7A78F501"/>
    <w:rsid w:val="7ADE8C1F"/>
    <w:rsid w:val="7BBF5998"/>
    <w:rsid w:val="7DB76EE8"/>
    <w:rsid w:val="7DBFA3ED"/>
    <w:rsid w:val="7EA57E42"/>
    <w:rsid w:val="7EFEBB7A"/>
    <w:rsid w:val="7F5DB41A"/>
    <w:rsid w:val="7F6F1069"/>
    <w:rsid w:val="7F6F7712"/>
    <w:rsid w:val="7F7E8AEE"/>
    <w:rsid w:val="7FBF7928"/>
    <w:rsid w:val="7FF92966"/>
    <w:rsid w:val="7FFBD723"/>
    <w:rsid w:val="7FFFB618"/>
    <w:rsid w:val="8FFC4443"/>
    <w:rsid w:val="97E73527"/>
    <w:rsid w:val="9FDD2E58"/>
    <w:rsid w:val="9FEE7350"/>
    <w:rsid w:val="A33B9742"/>
    <w:rsid w:val="BA3EA91D"/>
    <w:rsid w:val="BEFF7C9F"/>
    <w:rsid w:val="BFE35EFF"/>
    <w:rsid w:val="BFFE3647"/>
    <w:rsid w:val="C6F52C1E"/>
    <w:rsid w:val="C7FA66F9"/>
    <w:rsid w:val="CEFB6859"/>
    <w:rsid w:val="D5FCB94D"/>
    <w:rsid w:val="D77A14AE"/>
    <w:rsid w:val="D7DD46E9"/>
    <w:rsid w:val="D7FD3843"/>
    <w:rsid w:val="DB6FD148"/>
    <w:rsid w:val="DB7D4AA8"/>
    <w:rsid w:val="DFF65285"/>
    <w:rsid w:val="E7786CD4"/>
    <w:rsid w:val="E7F78C98"/>
    <w:rsid w:val="EDBBCACE"/>
    <w:rsid w:val="F57FA381"/>
    <w:rsid w:val="F5D78320"/>
    <w:rsid w:val="F6976F25"/>
    <w:rsid w:val="F786E710"/>
    <w:rsid w:val="F7D5E230"/>
    <w:rsid w:val="FBAEFF85"/>
    <w:rsid w:val="FBE783E4"/>
    <w:rsid w:val="FBEF6512"/>
    <w:rsid w:val="FD9FA7ED"/>
    <w:rsid w:val="FDD34E73"/>
    <w:rsid w:val="FED1DCF9"/>
    <w:rsid w:val="FEFFD6AB"/>
    <w:rsid w:val="FFE7786F"/>
    <w:rsid w:val="FFFD9B51"/>
    <w:rsid w:val="FFFF9D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unhideWhenUsed/>
    <w:qFormat/>
    <w:uiPriority w:val="0"/>
    <w:tblPr>
      <w:tblStyle w:val="5"/>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 w:type="paragraph" w:customStyle="1" w:styleId="9">
    <w:name w:val="封面一致性程度标识"/>
    <w:basedOn w:val="10"/>
    <w:qFormat/>
    <w:uiPriority w:val="0"/>
    <w:pPr>
      <w:framePr w:wrap="around"/>
      <w:spacing w:before="440"/>
    </w:pPr>
    <w:rPr>
      <w:rFonts w:ascii="宋体" w:eastAsia="宋体"/>
    </w:rPr>
  </w:style>
  <w:style w:type="paragraph" w:customStyle="1" w:styleId="10">
    <w:name w:val="封面标准英文名称"/>
    <w:basedOn w:val="11"/>
    <w:qFormat/>
    <w:uiPriority w:val="0"/>
    <w:pPr>
      <w:framePr w:wrap="around"/>
      <w:spacing w:before="370" w:line="400" w:lineRule="exact"/>
    </w:pPr>
    <w:rPr>
      <w:rFonts w:ascii="Times New Roman"/>
      <w:sz w:val="28"/>
      <w:szCs w:val="28"/>
    </w:rPr>
  </w:style>
  <w:style w:type="paragraph" w:customStyle="1" w:styleId="1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9.pn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2843</Words>
  <Characters>3227</Characters>
  <TotalTime>8</TotalTime>
  <ScaleCrop>false</ScaleCrop>
  <LinksUpToDate>false</LinksUpToDate>
  <CharactersWithSpaces>3701</CharactersWithSpaces>
  <Application>WPS Office_12.1.23141.23141_F1E327BC-269C-435d-A152-05C5408002CA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2025-07-27T03:52:00Z</dcterms:created>
  <dc:creator>Administrator</dc:creator>
  <cp:lastModifiedBy>z</cp:lastModifiedBy>
  <dcterms:modified xsi:type="dcterms:W3CDTF">2025-11-05T12:06:24Z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2025-07-26T11:52:16Z</vt:filetime>
  </property>
  <property fmtid="{D5CDD505-2E9C-101B-9397-08002B2CF9AE}" pid="4" name="UsrData">
    <vt:lpwstr>68805c6a9a065e001f53276ewl</vt:lpwstr>
  </property>
  <property fmtid="{D5CDD505-2E9C-101B-9397-08002B2CF9AE}" pid="5" name="KSOTemplateDocerSaveRecord">
    <vt:lpwstr>eyJoZGlkIjoiYWMxZTFkZGMyODZkOWM0ZDE3ZDgwZjVjN2RiNWMxNWYiLCJ1c2VySWQiOiI1MDY0Nzc5NzQifQ==</vt:lpwstr>
  </property>
  <property fmtid="{D5CDD505-2E9C-101B-9397-08002B2CF9AE}" pid="6" name="KSOProductBuildVer">
    <vt:lpwstr>2052-12.1.23141.23141</vt:lpwstr>
  </property>
  <property fmtid="{D5CDD505-2E9C-101B-9397-08002B2CF9AE}" pid="7" name="ICV">
    <vt:lpwstr>DAEDBDDA9E85D32240CD0A69D37363F2_43</vt:lpwstr>
  </property>
</Properties>
</file>