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D9" w:rsidRDefault="004D06D9" w:rsidP="004D06D9">
      <w:pPr>
        <w:ind w:right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附件1. </w:t>
      </w:r>
      <w:r w:rsidRPr="00E808BA"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学习安排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/>
      </w:tblPr>
      <w:tblGrid>
        <w:gridCol w:w="960"/>
        <w:gridCol w:w="1334"/>
        <w:gridCol w:w="5037"/>
        <w:gridCol w:w="2240"/>
      </w:tblGrid>
      <w:tr w:rsidR="004D06D9" w:rsidRPr="00572A8B" w:rsidTr="00AA119D">
        <w:trPr>
          <w:trHeight w:val="500"/>
          <w:jc w:val="center"/>
        </w:trPr>
        <w:tc>
          <w:tcPr>
            <w:tcW w:w="960" w:type="dxa"/>
            <w:shd w:val="clear" w:color="auto" w:fill="B8CCE4"/>
            <w:noWrap/>
            <w:vAlign w:val="center"/>
            <w:hideMark/>
          </w:tcPr>
          <w:p w:rsidR="004D06D9" w:rsidRPr="00AD14C5" w:rsidRDefault="004D06D9" w:rsidP="00AA119D">
            <w:pPr>
              <w:jc w:val="center"/>
              <w:rPr>
                <w:rFonts w:ascii="Century Gothic" w:eastAsia="等线" w:hAnsi="Century Gothic"/>
                <w:b/>
                <w:bCs/>
                <w:color w:val="FFFFFF"/>
                <w:sz w:val="28"/>
                <w:szCs w:val="28"/>
                <w:shd w:val="pct15" w:color="auto" w:fill="FFFFFF"/>
              </w:rPr>
            </w:pPr>
            <w:r>
              <w:rPr>
                <w:rFonts w:ascii="Century Gothic" w:eastAsia="等线" w:hAnsi="Century Gothic" w:hint="eastAsia"/>
                <w:b/>
                <w:bCs/>
                <w:color w:val="FFFFFF"/>
                <w:sz w:val="28"/>
                <w:szCs w:val="28"/>
                <w:shd w:val="pct15" w:color="auto" w:fill="FFFFFF"/>
              </w:rPr>
              <w:t>5</w:t>
            </w:r>
            <w:r w:rsidRPr="00AD14C5">
              <w:rPr>
                <w:rFonts w:ascii="Century Gothic" w:eastAsia="等线" w:hAnsi="Century Gothic" w:hint="eastAsia"/>
                <w:b/>
                <w:bCs/>
                <w:color w:val="FFFFFF"/>
                <w:sz w:val="28"/>
                <w:szCs w:val="28"/>
                <w:shd w:val="pct15" w:color="auto" w:fill="FFFFFF"/>
              </w:rPr>
              <w:t>.9</w:t>
            </w:r>
          </w:p>
        </w:tc>
        <w:tc>
          <w:tcPr>
            <w:tcW w:w="8611" w:type="dxa"/>
            <w:gridSpan w:val="3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rPr>
                <w:rFonts w:ascii="微软雅黑 Light" w:eastAsia="微软雅黑 Light" w:hAnsi="微软雅黑 Light"/>
                <w:szCs w:val="21"/>
              </w:rPr>
            </w:pPr>
            <w:r w:rsidRPr="00572A8B">
              <w:rPr>
                <w:rFonts w:ascii="微软雅黑 Light" w:eastAsia="微软雅黑 Light" w:hAnsi="微软雅黑 Light" w:hint="eastAsia"/>
                <w:sz w:val="18"/>
                <w:szCs w:val="18"/>
              </w:rPr>
              <w:t xml:space="preserve">   </w:t>
            </w:r>
            <w:r w:rsidRPr="00930962">
              <w:rPr>
                <w:rFonts w:ascii="微软雅黑 Light" w:eastAsia="微软雅黑 Light" w:hAnsi="微软雅黑 Light" w:hint="eastAsia"/>
                <w:szCs w:val="21"/>
              </w:rPr>
              <w:t>学员报到，入住酒店，领取行程安排</w:t>
            </w:r>
          </w:p>
        </w:tc>
      </w:tr>
      <w:tr w:rsidR="004D06D9" w:rsidRPr="00572A8B" w:rsidTr="00AA119D">
        <w:trPr>
          <w:trHeight w:val="1130"/>
          <w:jc w:val="center"/>
        </w:trPr>
        <w:tc>
          <w:tcPr>
            <w:tcW w:w="960" w:type="dxa"/>
            <w:vMerge w:val="restart"/>
            <w:shd w:val="clear" w:color="auto" w:fill="B8CCE4"/>
            <w:noWrap/>
            <w:vAlign w:val="center"/>
            <w:hideMark/>
          </w:tcPr>
          <w:p w:rsidR="004D06D9" w:rsidRPr="00930962" w:rsidRDefault="004D06D9" w:rsidP="00AA119D">
            <w:pPr>
              <w:jc w:val="center"/>
              <w:rPr>
                <w:rFonts w:ascii="Century Gothic" w:eastAsia="等线" w:hAnsi="Century Gothic"/>
                <w:b/>
                <w:bCs/>
                <w:color w:val="FFFFFF"/>
                <w:sz w:val="28"/>
                <w:szCs w:val="28"/>
                <w:shd w:val="pct15" w:color="auto" w:fill="FFFFFF"/>
              </w:rPr>
            </w:pPr>
            <w:r>
              <w:rPr>
                <w:rFonts w:ascii="Century Gothic" w:eastAsia="等线" w:hAnsi="Century Gothic" w:hint="eastAsia"/>
                <w:b/>
                <w:bCs/>
                <w:color w:val="FFFFFF"/>
                <w:sz w:val="28"/>
                <w:szCs w:val="28"/>
                <w:shd w:val="pct15" w:color="auto" w:fill="FFFFFF"/>
              </w:rPr>
              <w:t>5</w:t>
            </w:r>
            <w:r w:rsidRPr="00930962">
              <w:rPr>
                <w:rFonts w:ascii="Century Gothic" w:eastAsia="等线" w:hAnsi="Century Gothic" w:hint="eastAsia"/>
                <w:b/>
                <w:bCs/>
                <w:color w:val="FFFFFF"/>
                <w:sz w:val="28"/>
                <w:szCs w:val="28"/>
                <w:shd w:val="pct15" w:color="auto" w:fill="FFFFFF"/>
              </w:rPr>
              <w:t>.10</w:t>
            </w:r>
          </w:p>
        </w:tc>
        <w:tc>
          <w:tcPr>
            <w:tcW w:w="1334" w:type="dxa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jc w:val="center"/>
              <w:rPr>
                <w:rFonts w:ascii="Century Gothic" w:eastAsia="等线" w:hAnsi="Century Gothic"/>
                <w:szCs w:val="21"/>
              </w:rPr>
            </w:pPr>
            <w:r w:rsidRPr="00930962">
              <w:rPr>
                <w:rFonts w:ascii="Century Gothic" w:eastAsia="等线" w:hAnsi="Century Gothic"/>
                <w:szCs w:val="21"/>
              </w:rPr>
              <w:t>9:00-9:30</w:t>
            </w:r>
          </w:p>
        </w:tc>
        <w:tc>
          <w:tcPr>
            <w:tcW w:w="5037" w:type="dxa"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b/>
                <w:bCs/>
                <w:szCs w:val="21"/>
              </w:rPr>
              <w:t>华为标杆学习前引导</w:t>
            </w:r>
          </w:p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随团顾问抛出此次行程学习点，引导大家对于华为管理之道的思考，带着问题走进华为。</w:t>
            </w:r>
          </w:p>
        </w:tc>
        <w:tc>
          <w:tcPr>
            <w:tcW w:w="2240" w:type="dxa"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jc w:val="center"/>
              <w:rPr>
                <w:rFonts w:ascii="微软雅黑 Light" w:eastAsia="微软雅黑 Light" w:hAnsi="微软雅黑 Light"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巴士课堂</w:t>
            </w:r>
          </w:p>
        </w:tc>
      </w:tr>
      <w:tr w:rsidR="004D06D9" w:rsidRPr="00572A8B" w:rsidTr="00AA119D">
        <w:trPr>
          <w:trHeight w:val="1134"/>
          <w:jc w:val="center"/>
        </w:trPr>
        <w:tc>
          <w:tcPr>
            <w:tcW w:w="960" w:type="dxa"/>
            <w:vMerge/>
            <w:shd w:val="clear" w:color="auto" w:fill="B8CCE4"/>
            <w:vAlign w:val="center"/>
            <w:hideMark/>
          </w:tcPr>
          <w:p w:rsidR="004D06D9" w:rsidRPr="00930962" w:rsidRDefault="004D06D9" w:rsidP="00AA119D">
            <w:pPr>
              <w:rPr>
                <w:rFonts w:ascii="Century Gothic" w:eastAsia="等线" w:hAnsi="Century Gothic"/>
                <w:b/>
                <w:bCs/>
                <w:color w:val="FFFFFF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34" w:type="dxa"/>
            <w:vMerge w:val="restart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jc w:val="center"/>
              <w:rPr>
                <w:rFonts w:ascii="Century Gothic" w:eastAsia="等线" w:hAnsi="Century Gothic"/>
                <w:szCs w:val="21"/>
              </w:rPr>
            </w:pPr>
            <w:r w:rsidRPr="00930962">
              <w:rPr>
                <w:rFonts w:ascii="Century Gothic" w:eastAsia="等线" w:hAnsi="Century Gothic"/>
                <w:szCs w:val="21"/>
              </w:rPr>
              <w:t>9:30-12:00</w:t>
            </w:r>
          </w:p>
        </w:tc>
        <w:tc>
          <w:tcPr>
            <w:tcW w:w="5037" w:type="dxa"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b/>
                <w:bCs/>
                <w:szCs w:val="21"/>
              </w:rPr>
              <w:t>参观华为行业、企业方案展厅</w:t>
            </w:r>
          </w:p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了解企业产品涵盖类型，感知全球知名高新技术企业如何通过技术创新引领未来。</w:t>
            </w:r>
          </w:p>
        </w:tc>
        <w:tc>
          <w:tcPr>
            <w:tcW w:w="2240" w:type="dxa"/>
            <w:vMerge w:val="restart"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jc w:val="center"/>
              <w:rPr>
                <w:rFonts w:ascii="微软雅黑 Light" w:eastAsia="微软雅黑 Light" w:hAnsi="微软雅黑 Light"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华为内部</w:t>
            </w:r>
            <w:r w:rsidRPr="00930962">
              <w:rPr>
                <w:rFonts w:ascii="微软雅黑 Light" w:eastAsia="微软雅黑 Light" w:hAnsi="微软雅黑 Light" w:hint="eastAsia"/>
                <w:szCs w:val="21"/>
              </w:rPr>
              <w:br/>
              <w:t>讲解员</w:t>
            </w:r>
          </w:p>
        </w:tc>
      </w:tr>
      <w:tr w:rsidR="004D06D9" w:rsidRPr="00572A8B" w:rsidTr="00AA119D">
        <w:trPr>
          <w:trHeight w:val="634"/>
          <w:jc w:val="center"/>
        </w:trPr>
        <w:tc>
          <w:tcPr>
            <w:tcW w:w="960" w:type="dxa"/>
            <w:vMerge/>
            <w:shd w:val="clear" w:color="auto" w:fill="B8CCE4"/>
            <w:vAlign w:val="center"/>
            <w:hideMark/>
          </w:tcPr>
          <w:p w:rsidR="004D06D9" w:rsidRPr="00930962" w:rsidRDefault="004D06D9" w:rsidP="00AA119D">
            <w:pPr>
              <w:rPr>
                <w:rFonts w:ascii="Century Gothic" w:eastAsia="等线" w:hAnsi="Century Gothic"/>
                <w:b/>
                <w:bCs/>
                <w:color w:val="FFFFFF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34" w:type="dxa"/>
            <w:vMerge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rPr>
                <w:rFonts w:ascii="Century Gothic" w:eastAsia="等线" w:hAnsi="Century Gothic"/>
                <w:szCs w:val="21"/>
              </w:rPr>
            </w:pPr>
          </w:p>
        </w:tc>
        <w:tc>
          <w:tcPr>
            <w:tcW w:w="5037" w:type="dxa"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b/>
                <w:bCs/>
                <w:szCs w:val="21"/>
              </w:rPr>
              <w:t>参观华为大学、华为园区、华为百草园</w:t>
            </w:r>
          </w:p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感受全球知名企业大学风采，体验员工人文生活。</w:t>
            </w:r>
          </w:p>
        </w:tc>
        <w:tc>
          <w:tcPr>
            <w:tcW w:w="2240" w:type="dxa"/>
            <w:vMerge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szCs w:val="21"/>
              </w:rPr>
            </w:pPr>
          </w:p>
        </w:tc>
      </w:tr>
      <w:tr w:rsidR="004D06D9" w:rsidRPr="00572A8B" w:rsidTr="00AA119D">
        <w:trPr>
          <w:trHeight w:val="579"/>
          <w:jc w:val="center"/>
        </w:trPr>
        <w:tc>
          <w:tcPr>
            <w:tcW w:w="960" w:type="dxa"/>
            <w:vMerge/>
            <w:shd w:val="clear" w:color="auto" w:fill="B8CCE4"/>
            <w:vAlign w:val="center"/>
            <w:hideMark/>
          </w:tcPr>
          <w:p w:rsidR="004D06D9" w:rsidRPr="00930962" w:rsidRDefault="004D06D9" w:rsidP="00AA119D">
            <w:pPr>
              <w:rPr>
                <w:rFonts w:ascii="Century Gothic" w:eastAsia="等线" w:hAnsi="Century Gothic"/>
                <w:b/>
                <w:bCs/>
                <w:color w:val="FFFFFF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34" w:type="dxa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jc w:val="center"/>
              <w:rPr>
                <w:rFonts w:ascii="Century Gothic" w:eastAsia="等线" w:hAnsi="Century Gothic"/>
                <w:szCs w:val="21"/>
              </w:rPr>
            </w:pPr>
            <w:r w:rsidRPr="00930962">
              <w:rPr>
                <w:rFonts w:ascii="Century Gothic" w:eastAsia="等线" w:hAnsi="Century Gothic"/>
                <w:szCs w:val="21"/>
              </w:rPr>
              <w:t>12:00-13:30</w:t>
            </w:r>
          </w:p>
        </w:tc>
        <w:tc>
          <w:tcPr>
            <w:tcW w:w="7277" w:type="dxa"/>
            <w:gridSpan w:val="2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华为自助午餐（感受华为后勤服务体系）</w:t>
            </w:r>
          </w:p>
        </w:tc>
      </w:tr>
      <w:tr w:rsidR="004D06D9" w:rsidRPr="00572A8B" w:rsidTr="00AA119D">
        <w:trPr>
          <w:trHeight w:val="946"/>
          <w:jc w:val="center"/>
        </w:trPr>
        <w:tc>
          <w:tcPr>
            <w:tcW w:w="960" w:type="dxa"/>
            <w:vMerge/>
            <w:shd w:val="clear" w:color="auto" w:fill="B8CCE4"/>
            <w:vAlign w:val="center"/>
            <w:hideMark/>
          </w:tcPr>
          <w:p w:rsidR="004D06D9" w:rsidRPr="00930962" w:rsidRDefault="004D06D9" w:rsidP="00AA119D">
            <w:pPr>
              <w:rPr>
                <w:rFonts w:ascii="Century Gothic" w:eastAsia="等线" w:hAnsi="Century Gothic"/>
                <w:b/>
                <w:bCs/>
                <w:color w:val="FFFFFF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34" w:type="dxa"/>
            <w:vMerge w:val="restart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jc w:val="center"/>
              <w:rPr>
                <w:rFonts w:ascii="Century Gothic" w:eastAsia="等线" w:hAnsi="Century Gothic"/>
                <w:szCs w:val="21"/>
              </w:rPr>
            </w:pPr>
            <w:r w:rsidRPr="00930962">
              <w:rPr>
                <w:rFonts w:ascii="Century Gothic" w:eastAsia="等线" w:hAnsi="Century Gothic"/>
                <w:szCs w:val="21"/>
              </w:rPr>
              <w:t>13:30-18:30</w:t>
            </w:r>
          </w:p>
        </w:tc>
        <w:tc>
          <w:tcPr>
            <w:tcW w:w="5037" w:type="dxa"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b/>
                <w:bCs/>
                <w:szCs w:val="21"/>
              </w:rPr>
              <w:t>主题交流：华为以客户为中心的文化与运营体系</w:t>
            </w:r>
          </w:p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充分了解华为企业文化与核心竞争力，同时了解向华为学什么以及如何向华为学习。</w:t>
            </w:r>
          </w:p>
        </w:tc>
        <w:tc>
          <w:tcPr>
            <w:tcW w:w="2240" w:type="dxa"/>
            <w:vMerge w:val="restart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jc w:val="center"/>
              <w:rPr>
                <w:rFonts w:ascii="微软雅黑 Light" w:eastAsia="微软雅黑 Light" w:hAnsi="微软雅黑 Light"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华为高管</w:t>
            </w:r>
          </w:p>
        </w:tc>
      </w:tr>
      <w:tr w:rsidR="004D06D9" w:rsidRPr="00572A8B" w:rsidTr="00AA119D">
        <w:trPr>
          <w:trHeight w:val="1394"/>
          <w:jc w:val="center"/>
        </w:trPr>
        <w:tc>
          <w:tcPr>
            <w:tcW w:w="960" w:type="dxa"/>
            <w:vMerge/>
            <w:shd w:val="clear" w:color="auto" w:fill="B8CCE4"/>
            <w:vAlign w:val="center"/>
            <w:hideMark/>
          </w:tcPr>
          <w:p w:rsidR="004D06D9" w:rsidRPr="00930962" w:rsidRDefault="004D06D9" w:rsidP="00AA119D">
            <w:pPr>
              <w:rPr>
                <w:rFonts w:ascii="Century Gothic" w:eastAsia="等线" w:hAnsi="Century Gothic"/>
                <w:b/>
                <w:bCs/>
                <w:color w:val="FFFFFF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34" w:type="dxa"/>
            <w:vMerge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rPr>
                <w:rFonts w:ascii="Century Gothic" w:eastAsia="等线" w:hAnsi="Century Gothic"/>
                <w:szCs w:val="21"/>
              </w:rPr>
            </w:pPr>
          </w:p>
        </w:tc>
        <w:tc>
          <w:tcPr>
            <w:tcW w:w="5037" w:type="dxa"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b/>
                <w:bCs/>
                <w:szCs w:val="21"/>
              </w:rPr>
              <w:t>主题交流：华为以客户为中心的业务流程与组织变革</w:t>
            </w:r>
          </w:p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学习如何打造能打硬仗的作战团队，利用流程实现公司集中共享与标准化管理，做到力出一孔。</w:t>
            </w:r>
          </w:p>
        </w:tc>
        <w:tc>
          <w:tcPr>
            <w:tcW w:w="2240" w:type="dxa"/>
            <w:vMerge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szCs w:val="21"/>
              </w:rPr>
            </w:pPr>
          </w:p>
        </w:tc>
      </w:tr>
      <w:tr w:rsidR="004D06D9" w:rsidRPr="00572A8B" w:rsidTr="00AA119D">
        <w:trPr>
          <w:trHeight w:val="566"/>
          <w:jc w:val="center"/>
        </w:trPr>
        <w:tc>
          <w:tcPr>
            <w:tcW w:w="960" w:type="dxa"/>
            <w:vMerge/>
            <w:shd w:val="clear" w:color="auto" w:fill="B8CCE4"/>
            <w:vAlign w:val="center"/>
            <w:hideMark/>
          </w:tcPr>
          <w:p w:rsidR="004D06D9" w:rsidRPr="00930962" w:rsidRDefault="004D06D9" w:rsidP="00AA119D">
            <w:pPr>
              <w:rPr>
                <w:rFonts w:ascii="Century Gothic" w:eastAsia="等线" w:hAnsi="Century Gothic"/>
                <w:b/>
                <w:bCs/>
                <w:color w:val="FFFFFF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34" w:type="dxa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jc w:val="center"/>
              <w:rPr>
                <w:rFonts w:ascii="Century Gothic" w:eastAsia="等线" w:hAnsi="Century Gothic"/>
                <w:szCs w:val="21"/>
              </w:rPr>
            </w:pPr>
            <w:r w:rsidRPr="00930962">
              <w:rPr>
                <w:rFonts w:ascii="Century Gothic" w:eastAsia="等线" w:hAnsi="Century Gothic"/>
                <w:szCs w:val="21"/>
              </w:rPr>
              <w:t>18:30-19:30</w:t>
            </w:r>
          </w:p>
        </w:tc>
        <w:tc>
          <w:tcPr>
            <w:tcW w:w="7277" w:type="dxa"/>
            <w:gridSpan w:val="2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晚餐</w:t>
            </w:r>
          </w:p>
        </w:tc>
      </w:tr>
      <w:tr w:rsidR="004D06D9" w:rsidRPr="00572A8B" w:rsidTr="00AA119D">
        <w:trPr>
          <w:trHeight w:val="543"/>
          <w:jc w:val="center"/>
        </w:trPr>
        <w:tc>
          <w:tcPr>
            <w:tcW w:w="960" w:type="dxa"/>
            <w:vMerge w:val="restart"/>
            <w:shd w:val="clear" w:color="auto" w:fill="B8CCE4"/>
            <w:noWrap/>
            <w:vAlign w:val="center"/>
            <w:hideMark/>
          </w:tcPr>
          <w:p w:rsidR="004D06D9" w:rsidRPr="00930962" w:rsidRDefault="004D06D9" w:rsidP="00AA119D">
            <w:pPr>
              <w:jc w:val="center"/>
              <w:rPr>
                <w:rFonts w:ascii="Century Gothic" w:eastAsia="等线" w:hAnsi="Century Gothic"/>
                <w:b/>
                <w:bCs/>
                <w:color w:val="FFFFFF"/>
                <w:sz w:val="28"/>
                <w:szCs w:val="28"/>
                <w:shd w:val="pct15" w:color="auto" w:fill="FFFFFF"/>
              </w:rPr>
            </w:pPr>
            <w:r>
              <w:rPr>
                <w:rFonts w:ascii="Century Gothic" w:eastAsia="等线" w:hAnsi="Century Gothic" w:hint="eastAsia"/>
                <w:b/>
                <w:bCs/>
                <w:color w:val="FFFFFF"/>
                <w:sz w:val="28"/>
                <w:szCs w:val="28"/>
                <w:shd w:val="pct15" w:color="auto" w:fill="FFFFFF"/>
              </w:rPr>
              <w:t>5</w:t>
            </w:r>
            <w:r w:rsidRPr="00930962">
              <w:rPr>
                <w:rFonts w:ascii="Century Gothic" w:eastAsia="等线" w:hAnsi="Century Gothic" w:hint="eastAsia"/>
                <w:b/>
                <w:bCs/>
                <w:color w:val="FFFFFF"/>
                <w:sz w:val="28"/>
                <w:szCs w:val="28"/>
                <w:shd w:val="pct15" w:color="auto" w:fill="FFFFFF"/>
              </w:rPr>
              <w:t>.11</w:t>
            </w:r>
          </w:p>
        </w:tc>
        <w:tc>
          <w:tcPr>
            <w:tcW w:w="1334" w:type="dxa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jc w:val="center"/>
              <w:rPr>
                <w:rFonts w:ascii="Century Gothic" w:eastAsia="等线" w:hAnsi="Century Gothic"/>
                <w:szCs w:val="21"/>
              </w:rPr>
            </w:pPr>
            <w:r w:rsidRPr="00930962">
              <w:rPr>
                <w:rFonts w:ascii="Century Gothic" w:eastAsia="等线" w:hAnsi="Century Gothic"/>
                <w:szCs w:val="21"/>
              </w:rPr>
              <w:t>8:00-9:00</w:t>
            </w:r>
          </w:p>
        </w:tc>
        <w:tc>
          <w:tcPr>
            <w:tcW w:w="7277" w:type="dxa"/>
            <w:gridSpan w:val="2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等线" w:eastAsia="等线" w:hAnsi="等线"/>
                <w:color w:val="000000"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乘坐大巴从深圳前往东莞，进行参观学习</w:t>
            </w:r>
          </w:p>
        </w:tc>
      </w:tr>
      <w:tr w:rsidR="004D06D9" w:rsidRPr="00572A8B" w:rsidTr="00AA119D">
        <w:trPr>
          <w:trHeight w:val="1239"/>
          <w:jc w:val="center"/>
        </w:trPr>
        <w:tc>
          <w:tcPr>
            <w:tcW w:w="960" w:type="dxa"/>
            <w:vMerge/>
            <w:shd w:val="clear" w:color="auto" w:fill="B8CCE4"/>
            <w:vAlign w:val="center"/>
            <w:hideMark/>
          </w:tcPr>
          <w:p w:rsidR="004D06D9" w:rsidRPr="00572A8B" w:rsidRDefault="004D06D9" w:rsidP="00AA119D">
            <w:pPr>
              <w:rPr>
                <w:rFonts w:ascii="Century Gothic" w:eastAsia="等线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vMerge w:val="restart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jc w:val="center"/>
              <w:rPr>
                <w:rFonts w:ascii="Century Gothic" w:eastAsia="等线" w:hAnsi="Century Gothic"/>
                <w:szCs w:val="21"/>
              </w:rPr>
            </w:pPr>
            <w:r w:rsidRPr="00930962">
              <w:rPr>
                <w:rFonts w:ascii="Century Gothic" w:eastAsia="等线" w:hAnsi="Century Gothic"/>
                <w:szCs w:val="21"/>
              </w:rPr>
              <w:t>9:30-12:00</w:t>
            </w:r>
          </w:p>
        </w:tc>
        <w:tc>
          <w:tcPr>
            <w:tcW w:w="5037" w:type="dxa"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b/>
                <w:bCs/>
                <w:szCs w:val="21"/>
              </w:rPr>
              <w:t>参观华为松山湖基地</w:t>
            </w:r>
          </w:p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体验绿色智慧园区，将优美的生态环境和现代化工作场所完美融合</w:t>
            </w:r>
          </w:p>
        </w:tc>
        <w:tc>
          <w:tcPr>
            <w:tcW w:w="2240" w:type="dxa"/>
            <w:vMerge w:val="restart"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jc w:val="center"/>
              <w:rPr>
                <w:rFonts w:ascii="微软雅黑 Light" w:eastAsia="微软雅黑 Light" w:hAnsi="微软雅黑 Light"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华为内部讲解员</w:t>
            </w:r>
          </w:p>
        </w:tc>
      </w:tr>
      <w:tr w:rsidR="004D06D9" w:rsidRPr="00572A8B" w:rsidTr="00AA119D">
        <w:trPr>
          <w:trHeight w:val="942"/>
          <w:jc w:val="center"/>
        </w:trPr>
        <w:tc>
          <w:tcPr>
            <w:tcW w:w="960" w:type="dxa"/>
            <w:vMerge/>
            <w:shd w:val="clear" w:color="auto" w:fill="B8CCE4"/>
            <w:vAlign w:val="center"/>
            <w:hideMark/>
          </w:tcPr>
          <w:p w:rsidR="004D06D9" w:rsidRPr="00572A8B" w:rsidRDefault="004D06D9" w:rsidP="00AA119D">
            <w:pPr>
              <w:rPr>
                <w:rFonts w:ascii="Century Gothic" w:eastAsia="等线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vMerge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rPr>
                <w:rFonts w:ascii="Century Gothic" w:eastAsia="等线" w:hAnsi="Century Gothic"/>
                <w:szCs w:val="21"/>
              </w:rPr>
            </w:pPr>
          </w:p>
        </w:tc>
        <w:tc>
          <w:tcPr>
            <w:tcW w:w="5037" w:type="dxa"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b/>
                <w:bCs/>
                <w:szCs w:val="21"/>
              </w:rPr>
              <w:t>参观华为东莞手机生产线</w:t>
            </w:r>
          </w:p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b/>
                <w:bCs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体验高效率，高质量的智能化数字化设备生产线</w:t>
            </w:r>
          </w:p>
        </w:tc>
        <w:tc>
          <w:tcPr>
            <w:tcW w:w="2240" w:type="dxa"/>
            <w:vMerge/>
            <w:shd w:val="clear" w:color="auto" w:fill="FFFFFF"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szCs w:val="21"/>
              </w:rPr>
            </w:pPr>
          </w:p>
        </w:tc>
      </w:tr>
      <w:tr w:rsidR="004D06D9" w:rsidRPr="00572A8B" w:rsidTr="00AA119D">
        <w:trPr>
          <w:trHeight w:val="523"/>
          <w:jc w:val="center"/>
        </w:trPr>
        <w:tc>
          <w:tcPr>
            <w:tcW w:w="960" w:type="dxa"/>
            <w:vMerge/>
            <w:shd w:val="clear" w:color="auto" w:fill="B8CCE4"/>
            <w:vAlign w:val="center"/>
            <w:hideMark/>
          </w:tcPr>
          <w:p w:rsidR="004D06D9" w:rsidRPr="00572A8B" w:rsidRDefault="004D06D9" w:rsidP="00AA119D">
            <w:pPr>
              <w:rPr>
                <w:rFonts w:ascii="Century Gothic" w:eastAsia="等线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jc w:val="center"/>
              <w:rPr>
                <w:rFonts w:ascii="Century Gothic" w:eastAsia="等线" w:hAnsi="Century Gothic"/>
                <w:szCs w:val="21"/>
              </w:rPr>
            </w:pPr>
            <w:r w:rsidRPr="00930962">
              <w:rPr>
                <w:rFonts w:ascii="Century Gothic" w:eastAsia="等线" w:hAnsi="Century Gothic"/>
                <w:szCs w:val="21"/>
              </w:rPr>
              <w:t>12:00-13:30</w:t>
            </w:r>
          </w:p>
        </w:tc>
        <w:tc>
          <w:tcPr>
            <w:tcW w:w="7277" w:type="dxa"/>
            <w:gridSpan w:val="2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午餐及休息</w:t>
            </w:r>
          </w:p>
        </w:tc>
      </w:tr>
      <w:tr w:rsidR="004D06D9" w:rsidRPr="00572A8B" w:rsidTr="00AA119D">
        <w:trPr>
          <w:trHeight w:val="546"/>
          <w:jc w:val="center"/>
        </w:trPr>
        <w:tc>
          <w:tcPr>
            <w:tcW w:w="960" w:type="dxa"/>
            <w:vMerge/>
            <w:shd w:val="clear" w:color="auto" w:fill="B8CCE4"/>
            <w:vAlign w:val="center"/>
            <w:hideMark/>
          </w:tcPr>
          <w:p w:rsidR="004D06D9" w:rsidRPr="00572A8B" w:rsidRDefault="004D06D9" w:rsidP="00AA119D">
            <w:pPr>
              <w:rPr>
                <w:rFonts w:ascii="Century Gothic" w:eastAsia="等线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jc w:val="center"/>
              <w:rPr>
                <w:rFonts w:ascii="Century Gothic" w:eastAsia="等线" w:hAnsi="Century Gothic"/>
                <w:szCs w:val="21"/>
              </w:rPr>
            </w:pPr>
            <w:r w:rsidRPr="00930962">
              <w:rPr>
                <w:rFonts w:ascii="Century Gothic" w:eastAsia="等线" w:hAnsi="Century Gothic"/>
                <w:szCs w:val="21"/>
              </w:rPr>
              <w:t>14:00</w:t>
            </w:r>
          </w:p>
        </w:tc>
        <w:tc>
          <w:tcPr>
            <w:tcW w:w="7277" w:type="dxa"/>
            <w:gridSpan w:val="2"/>
            <w:shd w:val="clear" w:color="auto" w:fill="FFFFFF"/>
            <w:noWrap/>
            <w:vAlign w:val="center"/>
            <w:hideMark/>
          </w:tcPr>
          <w:p w:rsidR="004D06D9" w:rsidRPr="00930962" w:rsidRDefault="004D06D9" w:rsidP="00AA119D">
            <w:pPr>
              <w:spacing w:line="360" w:lineRule="exact"/>
              <w:rPr>
                <w:rFonts w:ascii="微软雅黑 Light" w:eastAsia="微软雅黑 Light" w:hAnsi="微软雅黑 Light"/>
                <w:szCs w:val="21"/>
              </w:rPr>
            </w:pPr>
            <w:r w:rsidRPr="00930962">
              <w:rPr>
                <w:rFonts w:ascii="微软雅黑 Light" w:eastAsia="微软雅黑 Light" w:hAnsi="微软雅黑 Light" w:hint="eastAsia"/>
                <w:szCs w:val="21"/>
              </w:rPr>
              <w:t>课程圆满结束，返回深圳送机（或自行安排活动）</w:t>
            </w:r>
          </w:p>
        </w:tc>
      </w:tr>
    </w:tbl>
    <w:p w:rsidR="004D06D9" w:rsidRDefault="004D06D9" w:rsidP="004D06D9">
      <w:pPr>
        <w:ind w:right="640"/>
        <w:rPr>
          <w:rFonts w:ascii="华文仿宋" w:eastAsia="华文仿宋" w:hAnsi="华文仿宋" w:hint="eastAsia"/>
          <w:sz w:val="32"/>
          <w:szCs w:val="32"/>
        </w:rPr>
      </w:pPr>
    </w:p>
    <w:p w:rsidR="009128CB" w:rsidRPr="004D06D9" w:rsidRDefault="009128CB"/>
    <w:sectPr w:rsidR="009128CB" w:rsidRPr="004D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CB" w:rsidRDefault="009128CB" w:rsidP="004D06D9">
      <w:r>
        <w:separator/>
      </w:r>
    </w:p>
  </w:endnote>
  <w:endnote w:type="continuationSeparator" w:id="1">
    <w:p w:rsidR="009128CB" w:rsidRDefault="009128CB" w:rsidP="004D0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CB" w:rsidRDefault="009128CB" w:rsidP="004D06D9">
      <w:r>
        <w:separator/>
      </w:r>
    </w:p>
  </w:footnote>
  <w:footnote w:type="continuationSeparator" w:id="1">
    <w:p w:rsidR="009128CB" w:rsidRDefault="009128CB" w:rsidP="004D0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6D9"/>
    <w:rsid w:val="004D06D9"/>
    <w:rsid w:val="0091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6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6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2019-04-10T06:54:00Z</dcterms:created>
  <dcterms:modified xsi:type="dcterms:W3CDTF">2019-04-10T06:55:00Z</dcterms:modified>
</cp:coreProperties>
</file>